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060" w:rsidRPr="009310AE" w:rsidRDefault="00062060" w:rsidP="009F7F5E">
      <w:pPr>
        <w:spacing w:before="100" w:beforeAutospacing="1" w:after="100" w:afterAutospacing="1" w:line="480" w:lineRule="auto"/>
        <w:rPr>
          <w:lang w:val="en-GB"/>
        </w:rPr>
      </w:pPr>
    </w:p>
    <w:p w:rsidR="00F9021A" w:rsidRDefault="00F9021A" w:rsidP="009F7F5E">
      <w:pPr>
        <w:spacing w:before="100" w:beforeAutospacing="1" w:after="100" w:afterAutospacing="1" w:line="480" w:lineRule="auto"/>
      </w:pPr>
      <w:r>
        <w:t>G.A. Cohen</w:t>
      </w:r>
    </w:p>
    <w:p w:rsidR="00F9021A" w:rsidRDefault="00F9021A" w:rsidP="009F7F5E">
      <w:pPr>
        <w:spacing w:before="100" w:beforeAutospacing="1" w:after="100" w:afterAutospacing="1" w:line="480" w:lineRule="auto"/>
      </w:pPr>
      <w:r>
        <w:t>Jonathan Wolff</w:t>
      </w:r>
    </w:p>
    <w:p w:rsidR="00F9021A" w:rsidRDefault="00F9021A" w:rsidP="009F7F5E">
      <w:pPr>
        <w:spacing w:before="100" w:beforeAutospacing="1" w:after="100" w:afterAutospacing="1" w:line="480" w:lineRule="auto"/>
      </w:pPr>
      <w:r>
        <w:t>Department of Philosophy, University College London</w:t>
      </w:r>
    </w:p>
    <w:p w:rsidR="00F9021A" w:rsidRDefault="00F9021A" w:rsidP="009F7F5E">
      <w:pPr>
        <w:spacing w:before="100" w:beforeAutospacing="1" w:after="100" w:afterAutospacing="1" w:line="480" w:lineRule="auto"/>
      </w:pPr>
    </w:p>
    <w:p w:rsidR="00FB1F11" w:rsidRPr="00FE6008" w:rsidRDefault="00FB1F11" w:rsidP="009F7F5E">
      <w:pPr>
        <w:spacing w:before="100" w:beforeAutospacing="1" w:after="100" w:afterAutospacing="1" w:line="480" w:lineRule="auto"/>
      </w:pPr>
      <w:r w:rsidRPr="00FE6008">
        <w:t xml:space="preserve">G.A. Cohen, universally known as Jerry, died </w:t>
      </w:r>
      <w:r w:rsidR="000E5C76">
        <w:t>unexpectedly</w:t>
      </w:r>
      <w:r w:rsidR="000E5C76" w:rsidRPr="00FE6008">
        <w:t xml:space="preserve"> </w:t>
      </w:r>
      <w:r w:rsidR="008F49E2">
        <w:t>on</w:t>
      </w:r>
      <w:r w:rsidRPr="00FE6008">
        <w:t xml:space="preserve"> </w:t>
      </w:r>
      <w:r w:rsidR="008F49E2">
        <w:t>5</w:t>
      </w:r>
      <w:r>
        <w:t xml:space="preserve"> </w:t>
      </w:r>
      <w:r w:rsidR="008F49E2">
        <w:t>August 2009</w:t>
      </w:r>
      <w:r w:rsidR="00B81ECB" w:rsidRPr="00B81ECB">
        <w:t>.</w:t>
      </w:r>
      <w:r w:rsidRPr="00FE6008">
        <w:t xml:space="preserve"> Born in 1941, he</w:t>
      </w:r>
      <w:r>
        <w:t xml:space="preserve"> had</w:t>
      </w:r>
      <w:r w:rsidRPr="00FE6008">
        <w:t xml:space="preserve"> recently retired as Chichele Professor of Social and Political Thought at Oxford University, and had taken up a part time post as Quain Professor of Jurisprudence at University College London. UCL was where he had begun his lecturing career in 1963, before his </w:t>
      </w:r>
      <w:r w:rsidR="000E5C76">
        <w:t>election</w:t>
      </w:r>
      <w:r w:rsidR="001D493D">
        <w:t>,</w:t>
      </w:r>
      <w:r w:rsidRPr="00FE6008">
        <w:t xml:space="preserve"> </w:t>
      </w:r>
      <w:r w:rsidR="000E5C76">
        <w:t>in 1984</w:t>
      </w:r>
      <w:r w:rsidR="001D493D">
        <w:t xml:space="preserve"> </w:t>
      </w:r>
      <w:r w:rsidR="001D493D" w:rsidRPr="00FE6008">
        <w:t>at a youthful 4</w:t>
      </w:r>
      <w:r w:rsidR="000E5C76">
        <w:t>3</w:t>
      </w:r>
      <w:r w:rsidR="001D2A6F">
        <w:t>,</w:t>
      </w:r>
      <w:r w:rsidR="001D493D">
        <w:t xml:space="preserve"> </w:t>
      </w:r>
      <w:r w:rsidRPr="00FE6008">
        <w:t xml:space="preserve">to his Oxford Chair, </w:t>
      </w:r>
      <w:r w:rsidR="001D493D">
        <w:t xml:space="preserve">which had </w:t>
      </w:r>
      <w:r w:rsidRPr="00FE6008">
        <w:t xml:space="preserve">previously </w:t>
      </w:r>
      <w:r w:rsidR="001D493D">
        <w:t xml:space="preserve">been </w:t>
      </w:r>
      <w:r w:rsidRPr="00FE6008">
        <w:t xml:space="preserve">held by </w:t>
      </w:r>
      <w:r w:rsidR="00230331">
        <w:t xml:space="preserve">G.D.H. Cole, </w:t>
      </w:r>
      <w:r w:rsidRPr="00FE6008">
        <w:t>Isaiah Berlin, Jo</w:t>
      </w:r>
      <w:r w:rsidR="001D493D">
        <w:t>hn Plamenatz and Charles Taylor.</w:t>
      </w:r>
      <w:r w:rsidR="000F31CA">
        <w:t xml:space="preserve"> </w:t>
      </w:r>
      <w:r w:rsidR="000E5C76">
        <w:t xml:space="preserve">He took up the Chair in 1985, the </w:t>
      </w:r>
      <w:r w:rsidR="000F31CA">
        <w:t xml:space="preserve">same year </w:t>
      </w:r>
      <w:r w:rsidR="000E5C76">
        <w:t xml:space="preserve">in which </w:t>
      </w:r>
      <w:r w:rsidR="000F31CA">
        <w:t>he was also elected to the British Academy.</w:t>
      </w:r>
    </w:p>
    <w:p w:rsidR="00FB1F11" w:rsidRPr="00FE6008" w:rsidRDefault="00FB1F11" w:rsidP="009F7F5E">
      <w:pPr>
        <w:spacing w:before="100" w:beforeAutospacing="1" w:after="100" w:afterAutospacing="1" w:line="480" w:lineRule="auto"/>
      </w:pPr>
      <w:r w:rsidRPr="00FE6008">
        <w:t>The question of who would be appointed to the Chichele Chair was, somewhat surprisingly, a matter of discuss</w:t>
      </w:r>
      <w:r w:rsidR="000F7E4E">
        <w:t>ion in the national press. Cohen</w:t>
      </w:r>
      <w:r w:rsidRPr="00FE6008">
        <w:t xml:space="preserve"> was relatively unknown and an unlikely candidate, at that time the author of just one book, </w:t>
      </w:r>
      <w:r w:rsidRPr="008A6630">
        <w:rPr>
          <w:i/>
        </w:rPr>
        <w:t>Karl Marx’s Theory of History: A Defence</w:t>
      </w:r>
      <w:r w:rsidR="009B3ACF">
        <w:t xml:space="preserve"> (1978)</w:t>
      </w:r>
      <w:r w:rsidR="00A33852">
        <w:t xml:space="preserve"> </w:t>
      </w:r>
      <w:r w:rsidRPr="00FE6008">
        <w:t xml:space="preserve">and a handful of papers. On his appointment the satirical magazine </w:t>
      </w:r>
      <w:r w:rsidRPr="00AF0EEC">
        <w:rPr>
          <w:i/>
        </w:rPr>
        <w:t>Private Eye</w:t>
      </w:r>
      <w:r w:rsidRPr="00FE6008">
        <w:t xml:space="preserve"> speculated that the committe</w:t>
      </w:r>
      <w:r w:rsidR="000F7E4E">
        <w:t>e may have been influenced</w:t>
      </w:r>
      <w:r w:rsidR="009B3ACF">
        <w:t xml:space="preserve"> by</w:t>
      </w:r>
      <w:r w:rsidR="000F7E4E">
        <w:t xml:space="preserve"> Cohen</w:t>
      </w:r>
      <w:r w:rsidRPr="00FE6008">
        <w:t>’s reputation as a wit and raconteur, and the need to enliven the qu</w:t>
      </w:r>
      <w:r w:rsidR="00230331">
        <w:t>ality of dinner table co</w:t>
      </w:r>
      <w:r w:rsidR="000F31CA">
        <w:t>n</w:t>
      </w:r>
      <w:r w:rsidR="00230331">
        <w:t>versation</w:t>
      </w:r>
      <w:r w:rsidRPr="00FE6008">
        <w:t xml:space="preserve"> at All Souls.</w:t>
      </w:r>
      <w:r w:rsidR="000F7E4E">
        <w:t xml:space="preserve"> Certainly Cohen</w:t>
      </w:r>
      <w:r w:rsidR="00FA7FE5">
        <w:t xml:space="preserve"> had a unique</w:t>
      </w:r>
      <w:r w:rsidR="009F7F5E">
        <w:t xml:space="preserve"> and memorable</w:t>
      </w:r>
      <w:r w:rsidR="00FA7FE5">
        <w:t xml:space="preserve"> gift for entertaining those around him – his conversation crackled with jokes, snatches of show tunes, and impressions of great philosophers, real and imagined </w:t>
      </w:r>
      <w:r w:rsidR="001D493D">
        <w:t>–</w:t>
      </w:r>
      <w:r w:rsidR="00FA7FE5">
        <w:t xml:space="preserve"> </w:t>
      </w:r>
      <w:r w:rsidR="001D493D">
        <w:t xml:space="preserve">but </w:t>
      </w:r>
      <w:r w:rsidR="00FA7FE5">
        <w:t>i</w:t>
      </w:r>
      <w:r w:rsidRPr="00FE6008">
        <w:t>n truth, the</w:t>
      </w:r>
      <w:r w:rsidR="000F7E4E">
        <w:t xml:space="preserve"> committee understood that he</w:t>
      </w:r>
      <w:r w:rsidRPr="00FE6008">
        <w:t xml:space="preserve"> </w:t>
      </w:r>
      <w:r w:rsidR="00FA7FE5">
        <w:t xml:space="preserve">also </w:t>
      </w:r>
      <w:r w:rsidRPr="00FE6008">
        <w:t xml:space="preserve">had a rare, perhaps unique, philosophical talent, and their confidence in him </w:t>
      </w:r>
      <w:r w:rsidR="005F551B">
        <w:t>was</w:t>
      </w:r>
      <w:r w:rsidRPr="00FE6008">
        <w:t xml:space="preserve"> amply rewarded.</w:t>
      </w:r>
    </w:p>
    <w:p w:rsidR="00B60DD0" w:rsidRDefault="000F7E4E" w:rsidP="009F7F5E">
      <w:pPr>
        <w:spacing w:before="100" w:beforeAutospacing="1" w:after="100" w:afterAutospacing="1" w:line="480" w:lineRule="auto"/>
      </w:pPr>
      <w:r>
        <w:t>Cohen</w:t>
      </w:r>
      <w:r w:rsidR="00FB1F11" w:rsidRPr="00FE6008">
        <w:t xml:space="preserve"> was born into a Jewish Marxist family, and his life and character were woven into his philosophical work in an unusual way, to the point where some of </w:t>
      </w:r>
      <w:r w:rsidR="00814ED5">
        <w:t>these</w:t>
      </w:r>
      <w:r w:rsidR="00FB1F11" w:rsidRPr="00FE6008">
        <w:t xml:space="preserve"> writings contain </w:t>
      </w:r>
      <w:r w:rsidR="00814ED5">
        <w:t xml:space="preserve">extended </w:t>
      </w:r>
      <w:r w:rsidR="00FB1F11" w:rsidRPr="00FE6008">
        <w:t xml:space="preserve">descriptions of his upbringing and family. </w:t>
      </w:r>
      <w:r w:rsidR="00FA7FE5">
        <w:t xml:space="preserve"> For example, Chapter 2 of his 1996 Gifford Lectures </w:t>
      </w:r>
      <w:r w:rsidR="00FA7FE5" w:rsidRPr="00FA7FE5">
        <w:rPr>
          <w:i/>
        </w:rPr>
        <w:t>If You’re An Egalitarian How Come You’re So Rich?</w:t>
      </w:r>
      <w:r>
        <w:t xml:space="preserve">  i</w:t>
      </w:r>
      <w:r w:rsidR="00FA7FE5">
        <w:t>s entitled ‘Politics and Religion in a Montreal Communist Jewish Childhood’ and paints a moving picture of</w:t>
      </w:r>
      <w:r w:rsidR="001D493D">
        <w:t xml:space="preserve"> his childhood,</w:t>
      </w:r>
      <w:r w:rsidR="00FA7FE5">
        <w:t xml:space="preserve"> his parents, their convictions and th</w:t>
      </w:r>
      <w:r>
        <w:t>eir social milieu</w:t>
      </w:r>
      <w:r w:rsidR="000F31CA">
        <w:t xml:space="preserve"> as factory workers</w:t>
      </w:r>
      <w:r w:rsidR="00B204E6">
        <w:t xml:space="preserve"> and, in the case of his mother,  communist party member and activist</w:t>
      </w:r>
      <w:r>
        <w:t>.</w:t>
      </w:r>
      <w:r>
        <w:rPr>
          <w:rStyle w:val="FootnoteReference"/>
        </w:rPr>
        <w:footnoteReference w:id="1"/>
      </w:r>
      <w:r>
        <w:t xml:space="preserve"> </w:t>
      </w:r>
      <w:r w:rsidR="009F7F5E">
        <w:t>To read it is to be transported into another world: the world of a cold-war</w:t>
      </w:r>
      <w:r w:rsidR="001D493D">
        <w:t xml:space="preserve"> Canadian</w:t>
      </w:r>
      <w:r>
        <w:t xml:space="preserve"> child, </w:t>
      </w:r>
      <w:r w:rsidR="009B3ACF">
        <w:t xml:space="preserve">from </w:t>
      </w:r>
      <w:r w:rsidR="000F31CA">
        <w:t>an</w:t>
      </w:r>
      <w:r w:rsidR="009B3ACF">
        <w:t xml:space="preserve"> immigrant family, </w:t>
      </w:r>
      <w:r>
        <w:t xml:space="preserve">first </w:t>
      </w:r>
      <w:r w:rsidR="009F7F5E">
        <w:t>convinced of the truth of Marxism and the moral superiori</w:t>
      </w:r>
      <w:r>
        <w:t>ty of Soviet Communism, but later</w:t>
      </w:r>
      <w:r w:rsidR="009F7F5E">
        <w:t xml:space="preserve"> trying to come to terms with the behaviour of the Soviet</w:t>
      </w:r>
      <w:r>
        <w:t xml:space="preserve"> Union in the 1950s. Cohen</w:t>
      </w:r>
      <w:r w:rsidR="009F7F5E">
        <w:t>’s upbringing, his family</w:t>
      </w:r>
      <w:r w:rsidR="008F49E2">
        <w:t xml:space="preserve">, his Jewishness (as distinct from Judaism) </w:t>
      </w:r>
      <w:r>
        <w:t>and his need to position his own beliefs in relation to</w:t>
      </w:r>
      <w:r w:rsidR="009F7F5E">
        <w:t xml:space="preserve"> Marx and </w:t>
      </w:r>
      <w:r>
        <w:t xml:space="preserve">to </w:t>
      </w:r>
      <w:r w:rsidR="009F7F5E">
        <w:t xml:space="preserve">Soviet Communism </w:t>
      </w:r>
      <w:r w:rsidR="008F49E2">
        <w:t>were central to his life and work, both in terms of its content and</w:t>
      </w:r>
      <w:r w:rsidR="009F7F5E">
        <w:t>, often, its</w:t>
      </w:r>
      <w:r w:rsidR="00761B15">
        <w:t xml:space="preserve"> presentation.</w:t>
      </w:r>
    </w:p>
    <w:p w:rsidR="00B60DD0" w:rsidRDefault="00B60DD0" w:rsidP="009F7F5E">
      <w:pPr>
        <w:spacing w:before="100" w:beforeAutospacing="1" w:after="100" w:afterAutospacing="1" w:line="480" w:lineRule="auto"/>
      </w:pPr>
    </w:p>
    <w:p w:rsidR="0058360B" w:rsidRDefault="00B60DD0" w:rsidP="009F7F5E">
      <w:pPr>
        <w:spacing w:before="100" w:beforeAutospacing="1" w:after="100" w:afterAutospacing="1" w:line="480" w:lineRule="auto"/>
      </w:pPr>
      <w:r>
        <w:t xml:space="preserve">Equally important to his work was his training in Philosophy, especially </w:t>
      </w:r>
      <w:r w:rsidR="009B3ACF">
        <w:t>at</w:t>
      </w:r>
      <w:r>
        <w:t xml:space="preserve"> Oxford, where he moved from undergraduate study in McGill, in 1961. There he came under the influence – the ‘benign guidance’</w:t>
      </w:r>
      <w:r w:rsidR="000F7E4E">
        <w:rPr>
          <w:rStyle w:val="FootnoteReference"/>
        </w:rPr>
        <w:footnoteReference w:id="2"/>
      </w:r>
      <w:r>
        <w:t xml:space="preserve"> – of Gilbert Ryle and received a thorough grounding in the techniques of analytical philosophy, with its emphasis on rigour and fine distinctions.</w:t>
      </w:r>
      <w:r w:rsidR="0079732A">
        <w:t xml:space="preserve"> It was armed</w:t>
      </w:r>
      <w:r w:rsidR="000F7E4E">
        <w:t xml:space="preserve"> with such techniques that Cohen</w:t>
      </w:r>
      <w:r w:rsidR="0079732A">
        <w:t xml:space="preserve"> </w:t>
      </w:r>
      <w:r w:rsidR="00E337EE">
        <w:t xml:space="preserve"> began</w:t>
      </w:r>
      <w:r w:rsidR="0079732A">
        <w:t xml:space="preserve"> his</w:t>
      </w:r>
      <w:r w:rsidR="00761B15">
        <w:t xml:space="preserve"> earliest project, resulting in his Isaac Deutcher Me</w:t>
      </w:r>
      <w:r w:rsidR="000F7E4E">
        <w:t xml:space="preserve">morial Prize-winning book </w:t>
      </w:r>
      <w:r w:rsidR="000F7E4E" w:rsidRPr="009B3ACF">
        <w:rPr>
          <w:i/>
        </w:rPr>
        <w:t>Karl Marx’s Theory of History: A Defence</w:t>
      </w:r>
      <w:r w:rsidR="0079732A">
        <w:t>.</w:t>
      </w:r>
      <w:r w:rsidR="00A9594F">
        <w:t xml:space="preserve"> (KMTH)</w:t>
      </w:r>
      <w:r w:rsidR="000F7E4E">
        <w:rPr>
          <w:rStyle w:val="FootnoteReference"/>
        </w:rPr>
        <w:footnoteReference w:id="3"/>
      </w:r>
      <w:r w:rsidR="001D2A6F">
        <w:t xml:space="preserve"> Later </w:t>
      </w:r>
      <w:r w:rsidR="00761B15">
        <w:t>he</w:t>
      </w:r>
      <w:r w:rsidR="001D2A6F">
        <w:t xml:space="preserve"> said</w:t>
      </w:r>
      <w:r w:rsidR="0079732A">
        <w:t xml:space="preserve"> it </w:t>
      </w:r>
      <w:r w:rsidR="00FB1F11" w:rsidRPr="00FE6008">
        <w:t xml:space="preserve">was a type of </w:t>
      </w:r>
      <w:r w:rsidR="00A33852">
        <w:t>‘repayment for what I had received. It reflected gratitude to my parents, to the school which had taught me, to the political community in which I was raised’.</w:t>
      </w:r>
      <w:r w:rsidR="000F7E4E">
        <w:rPr>
          <w:rStyle w:val="FootnoteReference"/>
        </w:rPr>
        <w:footnoteReference w:id="4"/>
      </w:r>
      <w:r w:rsidR="00A33852">
        <w:t xml:space="preserve"> It was a</w:t>
      </w:r>
      <w:r w:rsidR="00FB1F11" w:rsidRPr="00FE6008">
        <w:t xml:space="preserve">n attempt to state </w:t>
      </w:r>
      <w:r w:rsidR="00A33852">
        <w:t xml:space="preserve">and defend </w:t>
      </w:r>
      <w:r w:rsidR="00FB1F11" w:rsidRPr="00FE6008">
        <w:t xml:space="preserve">Marx’s theory of history in a fashion that met the standards of rigour and clarity of contemporary analytic philosophy, in the face of criticisms from Plamenatz and others that this could not be done. The </w:t>
      </w:r>
      <w:r w:rsidR="00761B15">
        <w:t xml:space="preserve">project proceeded </w:t>
      </w:r>
      <w:r w:rsidR="000F7E4E">
        <w:t>relatively slowly. Cohen</w:t>
      </w:r>
      <w:r w:rsidR="00761B15">
        <w:t xml:space="preserve"> first </w:t>
      </w:r>
      <w:r w:rsidR="00D409DD">
        <w:t xml:space="preserve">published a handful of papers on </w:t>
      </w:r>
      <w:r w:rsidR="00761B15">
        <w:t>Marx-relat</w:t>
      </w:r>
      <w:r w:rsidR="00A33852">
        <w:t>ed themes. These include two</w:t>
      </w:r>
      <w:r w:rsidR="00761B15">
        <w:t xml:space="preserve"> papers on what might be tho</w:t>
      </w:r>
      <w:r w:rsidR="00A33852">
        <w:t>ught of as social epistemology</w:t>
      </w:r>
      <w:r w:rsidR="0058360B">
        <w:t>. One</w:t>
      </w:r>
      <w:r w:rsidR="00B64272">
        <w:t>, his first published paper,</w:t>
      </w:r>
      <w:r w:rsidR="0058360B">
        <w:t xml:space="preserve"> </w:t>
      </w:r>
      <w:r w:rsidR="00B64272">
        <w:t>considers the question of whether one’s social role can determine what one can think and believe; Cohen argues that human freedom requires one to believe as a human being, rather than attributing one’s beliefs to a social role that one plays.</w:t>
      </w:r>
      <w:r w:rsidR="00B64272">
        <w:rPr>
          <w:rStyle w:val="FootnoteReference"/>
        </w:rPr>
        <w:footnoteReference w:id="5"/>
      </w:r>
      <w:r w:rsidR="00B64272">
        <w:t xml:space="preserve"> A second paper asks</w:t>
      </w:r>
      <w:r w:rsidR="0058360B">
        <w:t xml:space="preserve"> </w:t>
      </w:r>
      <w:r w:rsidR="00761B15">
        <w:t>how a Marxist understanding of the materialist production of ideas affects the question of whether any such ideas can be regarded as true.</w:t>
      </w:r>
      <w:r w:rsidR="000F7E4E">
        <w:rPr>
          <w:rStyle w:val="FootnoteReference"/>
        </w:rPr>
        <w:footnoteReference w:id="6"/>
      </w:r>
      <w:r w:rsidR="00761B15">
        <w:t xml:space="preserve"> This is clearly a matter of huge importance for a Marxist philosophe</w:t>
      </w:r>
      <w:r w:rsidR="00B64272">
        <w:t>r, and</w:t>
      </w:r>
      <w:r w:rsidR="001D2A6F">
        <w:t>,</w:t>
      </w:r>
      <w:r w:rsidR="00B64272">
        <w:t xml:space="preserve"> no doubt, a question Cohen</w:t>
      </w:r>
      <w:r w:rsidR="00761B15">
        <w:t xml:space="preserve"> felt he had to settle before taking any further steps.</w:t>
      </w:r>
      <w:r w:rsidR="0058360B">
        <w:t xml:space="preserve"> </w:t>
      </w:r>
      <w:r w:rsidR="00B64272">
        <w:t>His response is that while other classes need, falsely, to represent their ideas as universal, in the sense of being in the interest of the great majority, the proletariat have no such need of pretence or deception. For their ideas really are in the interest of the majority.</w:t>
      </w:r>
    </w:p>
    <w:p w:rsidR="007605F9" w:rsidRDefault="0058360B" w:rsidP="009F7F5E">
      <w:pPr>
        <w:spacing w:before="100" w:beforeAutospacing="1" w:after="100" w:afterAutospacing="1" w:line="480" w:lineRule="auto"/>
      </w:pPr>
      <w:r>
        <w:t xml:space="preserve">Both these papers are, in a way, prefatory to his project of defending Marx’s theory of history, in that they are questions that need to be answered in order to carry out the project with confidence. A third paper from the period, however, is much more closely aligned to the book-length project. </w:t>
      </w:r>
      <w:r w:rsidR="007605F9">
        <w:t xml:space="preserve"> Published in 1970, i</w:t>
      </w:r>
      <w:r>
        <w:t>t is called ‘On Some Criticisms of Historical Materialism’ and was presented to the Joint Session of the Aristotelian Society and Mind Association</w:t>
      </w:r>
      <w:r w:rsidR="00B64272">
        <w:t xml:space="preserve"> at its annual meeting</w:t>
      </w:r>
      <w:r>
        <w:t>.</w:t>
      </w:r>
      <w:r w:rsidR="00B64272">
        <w:rPr>
          <w:rStyle w:val="FootnoteReference"/>
        </w:rPr>
        <w:footnoteReference w:id="7"/>
      </w:r>
      <w:r w:rsidR="00B64272">
        <w:t xml:space="preserve"> Here Cohen</w:t>
      </w:r>
      <w:r>
        <w:t xml:space="preserve"> responds to some earlier criticisms of historical</w:t>
      </w:r>
      <w:r w:rsidR="00C15CEC">
        <w:t xml:space="preserve"> materialism by H.B. Acton and John Plamenatz,</w:t>
      </w:r>
      <w:r w:rsidR="00B64272">
        <w:t xml:space="preserve"> and Acton then replies to Cohen</w:t>
      </w:r>
      <w:r>
        <w:t>’s paper.</w:t>
      </w:r>
    </w:p>
    <w:p w:rsidR="00C15CEC" w:rsidRDefault="007605F9" w:rsidP="009F7F5E">
      <w:pPr>
        <w:spacing w:before="100" w:beforeAutospacing="1" w:after="100" w:afterAutospacing="1" w:line="480" w:lineRule="auto"/>
      </w:pPr>
      <w:r>
        <w:t>Although published some years before KMT</w:t>
      </w:r>
      <w:r w:rsidR="007E7B10">
        <w:t>H</w:t>
      </w:r>
      <w:r w:rsidR="00814ED5">
        <w:t>,</w:t>
      </w:r>
      <w:r w:rsidR="007E7B10">
        <w:t xml:space="preserve"> several</w:t>
      </w:r>
      <w:r>
        <w:t xml:space="preserve"> of the</w:t>
      </w:r>
      <w:r w:rsidR="007E7B10">
        <w:t xml:space="preserve"> innovative</w:t>
      </w:r>
      <w:r>
        <w:t xml:space="preserve"> themes of that work are</w:t>
      </w:r>
      <w:r w:rsidR="00A9594F">
        <w:t xml:space="preserve"> foreshadowed here. First, Cohen</w:t>
      </w:r>
      <w:r>
        <w:t xml:space="preserve"> praises Acton for applying the standards of rigour of analytical philosophy to Marxism, and suggests that in his own work he will apply</w:t>
      </w:r>
      <w:r w:rsidR="00A9594F">
        <w:t xml:space="preserve"> even higher standards</w:t>
      </w:r>
      <w:r>
        <w:t xml:space="preserve">. </w:t>
      </w:r>
      <w:r w:rsidR="007E7B10">
        <w:t>For this reason</w:t>
      </w:r>
      <w:r w:rsidR="00D409DD">
        <w:t>,</w:t>
      </w:r>
      <w:r w:rsidR="007E7B10">
        <w:t xml:space="preserve"> arguably</w:t>
      </w:r>
      <w:r w:rsidR="00D409DD">
        <w:t>,</w:t>
      </w:r>
      <w:r w:rsidR="007E7B10">
        <w:t xml:space="preserve"> this 1970 paper may well be the first appearance of what was later to be called ‘Analytic Marxism’, using the techniques of analytical philosophy and formal economics and social science to defend Marxism, rather then to criticize it. </w:t>
      </w:r>
      <w:r w:rsidR="00A9594F">
        <w:t>Second, Cohen</w:t>
      </w:r>
      <w:r>
        <w:t xml:space="preserve"> </w:t>
      </w:r>
      <w:r w:rsidR="007E7B10">
        <w:t xml:space="preserve">takes Marx’s 1859 </w:t>
      </w:r>
      <w:r w:rsidR="007E7B10" w:rsidRPr="00A9594F">
        <w:rPr>
          <w:i/>
        </w:rPr>
        <w:t>Preface to the Contribution to a Critique of Political Economy</w:t>
      </w:r>
      <w:r w:rsidR="007E7B10">
        <w:t xml:space="preserve"> as the central source for his reading of Marx’s theory of history. Finally, he </w:t>
      </w:r>
      <w:r>
        <w:t xml:space="preserve">presents a sketch of how the device of functional explanation can be used to </w:t>
      </w:r>
      <w:r w:rsidR="007E7B10">
        <w:t xml:space="preserve">overcome some difficulties in the formulation of the theory, </w:t>
      </w:r>
      <w:r>
        <w:t>which was to become one of the central aspects of his later reconstruction. The main topic of the symposium is the question of the relation between the economic base and the legal and political superstructure in historical materialism. Th</w:t>
      </w:r>
      <w:r w:rsidR="00A9594F">
        <w:t>e economic base is understood to be</w:t>
      </w:r>
      <w:r>
        <w:t xml:space="preserve"> the set of relations of prod</w:t>
      </w:r>
      <w:r w:rsidR="00C15CEC">
        <w:t>uction</w:t>
      </w:r>
      <w:r w:rsidR="007E7B10">
        <w:t>, such as the relation</w:t>
      </w:r>
      <w:r w:rsidR="00A9594F">
        <w:t>s</w:t>
      </w:r>
      <w:r w:rsidR="007E7B10">
        <w:t xml:space="preserve"> between capitalist</w:t>
      </w:r>
      <w:r w:rsidR="00A9594F">
        <w:t>s</w:t>
      </w:r>
      <w:r w:rsidR="007E7B10">
        <w:t xml:space="preserve"> and worker</w:t>
      </w:r>
      <w:r w:rsidR="00A9594F">
        <w:t>s</w:t>
      </w:r>
      <w:r w:rsidR="007E7B10">
        <w:t>, or master</w:t>
      </w:r>
      <w:r w:rsidR="00A9594F">
        <w:t>s</w:t>
      </w:r>
      <w:r w:rsidR="007E7B10">
        <w:t xml:space="preserve"> and slave</w:t>
      </w:r>
      <w:r w:rsidR="00A9594F">
        <w:t>s</w:t>
      </w:r>
      <w:r w:rsidR="007E7B10">
        <w:t>,</w:t>
      </w:r>
      <w:r w:rsidR="00C15CEC">
        <w:t xml:space="preserve"> within the economy. </w:t>
      </w:r>
      <w:r w:rsidR="00A9594F">
        <w:t xml:space="preserve">Thus the base is, broadly speaking, the economic system. </w:t>
      </w:r>
      <w:r w:rsidR="00C15CEC">
        <w:t>Plamenatz</w:t>
      </w:r>
      <w:r>
        <w:t xml:space="preserve"> had argued that it was impossible to characterize</w:t>
      </w:r>
      <w:r w:rsidR="00A9594F">
        <w:t xml:space="preserve"> economic</w:t>
      </w:r>
      <w:r w:rsidR="00C15CEC">
        <w:t xml:space="preserve"> relations</w:t>
      </w:r>
      <w:r w:rsidR="00A9594F">
        <w:t xml:space="preserve"> of production</w:t>
      </w:r>
      <w:r>
        <w:t xml:space="preserve"> except in terms of </w:t>
      </w:r>
      <w:r w:rsidR="00C15CEC">
        <w:t>legal po</w:t>
      </w:r>
      <w:r w:rsidR="00B204E6">
        <w:t>wers. For example, a proletarian</w:t>
      </w:r>
      <w:r w:rsidR="00C15CEC">
        <w:t xml:space="preserve"> is someone who has the right to sell his or her labour, unlike the serf or slave who has no such right. Yet to use the language of rights is to use a set of concepts belonging to the superstructure, and hence</w:t>
      </w:r>
      <w:r w:rsidR="00A9594F">
        <w:t>, so it is argued,</w:t>
      </w:r>
      <w:r w:rsidR="00C15CEC">
        <w:t xml:space="preserve"> it is impossible to define the economic structure except in superstuctural terms. </w:t>
      </w:r>
      <w:r w:rsidR="00A9594F">
        <w:t>If this is so, then</w:t>
      </w:r>
      <w:r w:rsidR="00C15CEC">
        <w:t>, it is argued, it cannot be the case that the economic structure has explanatory priority over the superstructure, as orthodox Marxism dictates.</w:t>
      </w:r>
    </w:p>
    <w:p w:rsidR="00435147" w:rsidRDefault="00A375E2" w:rsidP="009F7F5E">
      <w:pPr>
        <w:spacing w:before="100" w:beforeAutospacing="1" w:after="100" w:afterAutospacing="1" w:line="480" w:lineRule="auto"/>
      </w:pPr>
      <w:r>
        <w:t>Cohen</w:t>
      </w:r>
      <w:r w:rsidR="00C15CEC">
        <w:t xml:space="preserve"> does not question Plamenatz’s claim that it is necessary to provide an independent account of the economic structure for it to play the role Marx requires</w:t>
      </w:r>
      <w:r w:rsidR="000E5C76">
        <w:t xml:space="preserve"> of it</w:t>
      </w:r>
      <w:r w:rsidR="00C15CEC">
        <w:t>. Rather he takes on the challenge of providing such an account – what he calls a ‘rechtsfrei’ interpretation. He argues that the economic base should be understood, s</w:t>
      </w:r>
      <w:r>
        <w:t xml:space="preserve">trictly speaking, as constituted by </w:t>
      </w:r>
      <w:r w:rsidR="00C15CEC">
        <w:t xml:space="preserve">powers, rather than rights. The superstructure, as a set of legal rights, exists in order to consolidate the powers belonging to the economic base. </w:t>
      </w:r>
      <w:r w:rsidR="00435147">
        <w:t>This is a direct and explicit appeal to functional explanation.</w:t>
      </w:r>
      <w:r w:rsidR="00BE03F8">
        <w:t xml:space="preserve"> </w:t>
      </w:r>
      <w:r w:rsidR="00C15CEC">
        <w:t xml:space="preserve">The superstructure exists because it has a function: the function of protecting economic power. </w:t>
      </w:r>
      <w:r w:rsidR="00435147">
        <w:t xml:space="preserve">The </w:t>
      </w:r>
      <w:r w:rsidR="00C15CEC">
        <w:t>solutio</w:t>
      </w:r>
      <w:r w:rsidR="00435147">
        <w:t xml:space="preserve">n is elegant. The base and superstructure can be characterized independently of each other, and while the superstructure has a causal effect on the base, it exists in order to have that effect. Therefore </w:t>
      </w:r>
      <w:r>
        <w:t xml:space="preserve">the economic base has </w:t>
      </w:r>
      <w:r w:rsidR="00435147">
        <w:t xml:space="preserve">explanatory priority </w:t>
      </w:r>
      <w:r>
        <w:t>even though ca</w:t>
      </w:r>
      <w:r w:rsidR="00B204E6">
        <w:t>us</w:t>
      </w:r>
      <w:r>
        <w:t>al influence goes in the opposite direction</w:t>
      </w:r>
      <w:r w:rsidR="00435147">
        <w:t>.</w:t>
      </w:r>
    </w:p>
    <w:p w:rsidR="00435147" w:rsidRDefault="00435147" w:rsidP="009F7F5E">
      <w:pPr>
        <w:spacing w:before="100" w:beforeAutospacing="1" w:after="100" w:afterAutospacing="1" w:line="480" w:lineRule="auto"/>
      </w:pPr>
    </w:p>
    <w:p w:rsidR="00357FF6" w:rsidRDefault="00435147" w:rsidP="009F7F5E">
      <w:pPr>
        <w:spacing w:before="100" w:beforeAutospacing="1" w:after="100" w:afterAutospacing="1" w:line="480" w:lineRule="auto"/>
      </w:pPr>
      <w:r>
        <w:t>Although many of the elements were in place by 1970,</w:t>
      </w:r>
      <w:r w:rsidR="000E5C76">
        <w:t xml:space="preserve"> and </w:t>
      </w:r>
      <w:r w:rsidR="00BE03F8">
        <w:t xml:space="preserve">other important papers on Marx were published in </w:t>
      </w:r>
      <w:r w:rsidR="00357FF6">
        <w:t xml:space="preserve">1972 and </w:t>
      </w:r>
      <w:r w:rsidR="00BE03F8">
        <w:t>1974,</w:t>
      </w:r>
      <w:r w:rsidR="00357FF6">
        <w:rPr>
          <w:rStyle w:val="FootnoteReference"/>
        </w:rPr>
        <w:footnoteReference w:id="8"/>
      </w:r>
      <w:r>
        <w:t xml:space="preserve"> it was not until 1978 that </w:t>
      </w:r>
      <w:r w:rsidR="00FF48B6">
        <w:t>Cohen</w:t>
      </w:r>
      <w:r w:rsidR="00D95685">
        <w:t xml:space="preserve"> published KMTH. Part of the reason for delay</w:t>
      </w:r>
      <w:r>
        <w:t xml:space="preserve"> was his perfectionism in trying to get the details as precisely right as he could. But another explanation was that he was faced with a much more urgent project. In 1973 Robert Nozick published a long article in </w:t>
      </w:r>
      <w:r w:rsidRPr="00357FF6">
        <w:rPr>
          <w:i/>
        </w:rPr>
        <w:t>Philosophy and Public Affairs</w:t>
      </w:r>
      <w:r>
        <w:t xml:space="preserve">, which was to become the heart of the libertarian political philosophy elaborated in </w:t>
      </w:r>
      <w:r w:rsidRPr="00357FF6">
        <w:rPr>
          <w:i/>
        </w:rPr>
        <w:t>Anarchy, State and Utopia</w:t>
      </w:r>
      <w:r w:rsidR="00357FF6">
        <w:t>.</w:t>
      </w:r>
      <w:r w:rsidR="00D95685">
        <w:rPr>
          <w:rStyle w:val="FootnoteReference"/>
        </w:rPr>
        <w:footnoteReference w:id="9"/>
      </w:r>
    </w:p>
    <w:p w:rsidR="00A514A9" w:rsidRDefault="000E5C76" w:rsidP="009F7F5E">
      <w:pPr>
        <w:spacing w:before="100" w:beforeAutospacing="1" w:after="100" w:afterAutospacing="1" w:line="480" w:lineRule="auto"/>
      </w:pPr>
      <w:r>
        <w:t>Cohen reports that Nozick’s ideas were</w:t>
      </w:r>
      <w:r w:rsidR="00357FF6">
        <w:t xml:space="preserve"> </w:t>
      </w:r>
      <w:r w:rsidR="00D95685">
        <w:t xml:space="preserve">first </w:t>
      </w:r>
      <w:r w:rsidR="00357FF6">
        <w:t>drawn to his attention by Gerald Dworkin</w:t>
      </w:r>
      <w:r w:rsidR="00FD5E85">
        <w:t xml:space="preserve"> in 1972</w:t>
      </w:r>
      <w:r w:rsidR="00357FF6">
        <w:t>, an</w:t>
      </w:r>
      <w:r w:rsidR="00D95685">
        <w:t xml:space="preserve">d, in an important episode in his life, in 1975 he visited Princeton for a semester, lecturing on Nozick and </w:t>
      </w:r>
      <w:r>
        <w:t>making important connections</w:t>
      </w:r>
      <w:r w:rsidR="00D95685">
        <w:t xml:space="preserve"> with Tom Nagel and Tim Scanlon.</w:t>
      </w:r>
      <w:r w:rsidR="00D95685">
        <w:rPr>
          <w:rStyle w:val="FootnoteReference"/>
        </w:rPr>
        <w:footnoteReference w:id="10"/>
      </w:r>
      <w:r w:rsidR="00D95685">
        <w:t xml:space="preserve"> </w:t>
      </w:r>
      <w:r w:rsidR="00FD5E85">
        <w:t>On encountering</w:t>
      </w:r>
      <w:r w:rsidR="00D95685">
        <w:t xml:space="preserve"> Nozick</w:t>
      </w:r>
      <w:r>
        <w:t>’s arguments</w:t>
      </w:r>
      <w:r w:rsidR="00FD5E85">
        <w:t xml:space="preserve"> Cohen</w:t>
      </w:r>
      <w:r w:rsidR="00D95685">
        <w:t xml:space="preserve"> felt a </w:t>
      </w:r>
      <w:r w:rsidR="00A32225">
        <w:t xml:space="preserve">need to </w:t>
      </w:r>
      <w:r w:rsidR="00D95685">
        <w:t xml:space="preserve">divert his focus from his work on Marx </w:t>
      </w:r>
      <w:r w:rsidR="00A32225">
        <w:t>, for the time being, to answer Noz</w:t>
      </w:r>
      <w:r w:rsidR="00D95685">
        <w:t xml:space="preserve">ick. Nozick, of course, sets out </w:t>
      </w:r>
      <w:r w:rsidR="00A32225">
        <w:t>a natural rights based form of libertarianism, defending a minimal state, and condemning any form of redistributive transfer as coercive and unjust. For many left-liberals, Nozick’s was a dazzling defence of an obv</w:t>
      </w:r>
      <w:r w:rsidR="00D95685">
        <w:t>iously false and heartless view: a view</w:t>
      </w:r>
      <w:r w:rsidR="00A32225">
        <w:t xml:space="preserve"> that required attention because of the intellectual strength, wit and elegance of many of the arguments of the book but not because the overall doc</w:t>
      </w:r>
      <w:r w:rsidR="00D409DD">
        <w:t xml:space="preserve">trine presented </w:t>
      </w:r>
      <w:r w:rsidR="0073488B">
        <w:t>gave</w:t>
      </w:r>
      <w:r w:rsidR="00A32225">
        <w:t xml:space="preserve"> them any </w:t>
      </w:r>
      <w:r w:rsidR="0073488B">
        <w:t>cause</w:t>
      </w:r>
      <w:r w:rsidR="00A32225">
        <w:t xml:space="preserve"> to doubt their own </w:t>
      </w:r>
      <w:r w:rsidR="00D95685">
        <w:t>heartfelt convictions. For Cohen</w:t>
      </w:r>
      <w:r w:rsidR="00A32225">
        <w:t>, however, the situation was quite different. As he later put it, in a paper revealing</w:t>
      </w:r>
      <w:r w:rsidR="00FD5E85">
        <w:t>ly</w:t>
      </w:r>
      <w:r w:rsidR="00A32225">
        <w:t xml:space="preserve"> entitled ‘Marxism and contemporary political philosophy, or: why Nozick exercises some Marxists more than he does any egal</w:t>
      </w:r>
      <w:r w:rsidR="00FD5E85">
        <w:t>itarian liberals’, Cohen</w:t>
      </w:r>
      <w:r w:rsidR="00A32225">
        <w:t xml:space="preserve">’s Marxist-inspired critique of capitalism was based on the idea that the relation between capitalist and worker is exploitative, because it involves ‘the theft of another person’s labour time’. Yet in </w:t>
      </w:r>
      <w:r w:rsidR="00A32225" w:rsidRPr="00FD5E85">
        <w:rPr>
          <w:i/>
        </w:rPr>
        <w:t>Anarchy, State, and Utopia</w:t>
      </w:r>
      <w:r w:rsidR="00A32225">
        <w:t xml:space="preserve"> Nozick argues that redistributive taxation has exactly that character.</w:t>
      </w:r>
      <w:r w:rsidR="00FD5E85">
        <w:t xml:space="preserve"> According to Cohen</w:t>
      </w:r>
      <w:r w:rsidR="00FD0671">
        <w:t xml:space="preserve">, Marxists such as himself at that time believe in the principle of self-ownership, that people are the rightful owners of their own powers, but exactly this principle is argued, by Nozick, to yield not communism, but a stark form of </w:t>
      </w:r>
      <w:r w:rsidR="00B204E6">
        <w:t xml:space="preserve">capitalist </w:t>
      </w:r>
      <w:r w:rsidR="00FD0671">
        <w:t>individualism.</w:t>
      </w:r>
      <w:r w:rsidR="00A514A9">
        <w:t xml:space="preserve"> Refuting this view, then, became another essential ‘ground-clearing’ task in the defence of Marxism, but also very important for its own sake.</w:t>
      </w:r>
      <w:r w:rsidR="00FD5E85">
        <w:rPr>
          <w:rStyle w:val="FootnoteReference"/>
        </w:rPr>
        <w:footnoteReference w:id="11"/>
      </w:r>
    </w:p>
    <w:p w:rsidR="00A514A9" w:rsidRDefault="00A514A9" w:rsidP="009F7F5E">
      <w:pPr>
        <w:spacing w:before="100" w:beforeAutospacing="1" w:after="100" w:afterAutospacing="1" w:line="480" w:lineRule="auto"/>
      </w:pPr>
    </w:p>
    <w:p w:rsidR="008D0067" w:rsidRDefault="009C18BE" w:rsidP="009F7F5E">
      <w:pPr>
        <w:spacing w:before="100" w:beforeAutospacing="1" w:after="100" w:afterAutospacing="1" w:line="480" w:lineRule="auto"/>
      </w:pPr>
      <w:r>
        <w:t>Cohen</w:t>
      </w:r>
      <w:r w:rsidR="00A514A9">
        <w:t>’s classic paper on Nozick, ‘Robert Nozick and Wilt Chamberlain: How Patterns Preserve Liberty’ was published in 1977.</w:t>
      </w:r>
      <w:r>
        <w:rPr>
          <w:rStyle w:val="FootnoteReference"/>
        </w:rPr>
        <w:footnoteReference w:id="12"/>
      </w:r>
      <w:r w:rsidR="00A514A9">
        <w:t xml:space="preserve"> (A slightly revised version was published in 1995 in </w:t>
      </w:r>
      <w:r w:rsidR="00A514A9" w:rsidRPr="009C18BE">
        <w:rPr>
          <w:i/>
        </w:rPr>
        <w:t>Self-Ownership, Freedom and Equality</w:t>
      </w:r>
      <w:r w:rsidR="00A514A9">
        <w:t xml:space="preserve">. Like many of his </w:t>
      </w:r>
      <w:r w:rsidR="0083128E">
        <w:t>reprinted papers the later version</w:t>
      </w:r>
      <w:r w:rsidR="00A514A9">
        <w:t xml:space="preserve"> contains a number of small corrections and </w:t>
      </w:r>
      <w:r w:rsidR="0073488B">
        <w:t>amendments</w:t>
      </w:r>
      <w:r>
        <w:t>.) Nozick vividly</w:t>
      </w:r>
      <w:r w:rsidR="0083128E">
        <w:t xml:space="preserve"> argued that any attempt to introduce a ‘pattern’ of distributive justice, such as equality, will require the state to prevent individuals from making voluntary transactions</w:t>
      </w:r>
      <w:r w:rsidR="008D0067">
        <w:t xml:space="preserve"> that might disrupt the pattern. Yet if the state were to do this, it would restrict individual liberty, </w:t>
      </w:r>
      <w:r>
        <w:t>needing to coerce individuals into conformity to the designated di</w:t>
      </w:r>
      <w:r w:rsidR="00D05AD7">
        <w:t>s</w:t>
      </w:r>
      <w:r>
        <w:t>tribution,</w:t>
      </w:r>
      <w:r w:rsidR="008D0067">
        <w:t xml:space="preserve"> and so those who value liberty should resists any attempt to try</w:t>
      </w:r>
      <w:r>
        <w:t xml:space="preserve"> to implement a pattern. Cohen</w:t>
      </w:r>
      <w:r w:rsidR="008D0067">
        <w:t xml:space="preserve"> makes many points in criticism of Nozick’s argument, but his main response is that Nozick has overlooked the fact that a distribution of property is already a distribution of liberty. One person’s ownership of an item of property entails that other people are not at liberty to use it without th</w:t>
      </w:r>
      <w:r>
        <w:t xml:space="preserve">e owner’s </w:t>
      </w:r>
      <w:r w:rsidR="00D05AD7">
        <w:t>permission</w:t>
      </w:r>
      <w:r>
        <w:t>. Therefore it</w:t>
      </w:r>
      <w:r w:rsidR="008D0067">
        <w:t xml:space="preserve"> </w:t>
      </w:r>
      <w:r>
        <w:t>can be</w:t>
      </w:r>
      <w:r w:rsidR="008D0067">
        <w:t xml:space="preserve"> the case that a pattern is needed to preserve the liberty of those who would otherwise suffer in an unpatte</w:t>
      </w:r>
      <w:r>
        <w:t xml:space="preserve">rned distribution. Hence, Cohen </w:t>
      </w:r>
      <w:r w:rsidR="008D0067">
        <w:t xml:space="preserve">argues, </w:t>
      </w:r>
      <w:r>
        <w:t>patterns preserve liberty. He</w:t>
      </w:r>
      <w:r w:rsidR="008D0067">
        <w:t xml:space="preserve"> notes that Nozick attempts to avoid this, by redefining liberty as, essentially, the freedom to do what one has a right to do, </w:t>
      </w:r>
      <w:r>
        <w:t>and so a non-owner</w:t>
      </w:r>
      <w:r w:rsidR="000E5C76">
        <w:t>’</w:t>
      </w:r>
      <w:r>
        <w:t xml:space="preserve">s inability to use the property of its owner is no longer a detriment to liberty. But if this move is made </w:t>
      </w:r>
      <w:r w:rsidR="008D0067">
        <w:t xml:space="preserve">it </w:t>
      </w:r>
      <w:r>
        <w:t xml:space="preserve">then </w:t>
      </w:r>
      <w:r w:rsidR="008D0067">
        <w:t>becomes question-begging to try to defend a view of private property in terms of liberty</w:t>
      </w:r>
      <w:r>
        <w:t>, for any account of liberty already assumes a view of justified property</w:t>
      </w:r>
      <w:r w:rsidR="008D0067">
        <w:t>. This critique is arguably the most powerful and influential of those that attempted to engage with Nozick’s argument.</w:t>
      </w:r>
    </w:p>
    <w:p w:rsidR="0000331A" w:rsidRDefault="000E5C76" w:rsidP="009F7F5E">
      <w:pPr>
        <w:spacing w:before="100" w:beforeAutospacing="1" w:after="100" w:afterAutospacing="1" w:line="480" w:lineRule="auto"/>
      </w:pPr>
      <w:r>
        <w:t>Cohen finally published KMTH in 1979, as well, that year, as publishing a brilliant, critical examination of Marx’s labour theory of value and its relation to the theory of exploitation.</w:t>
      </w:r>
      <w:r>
        <w:rPr>
          <w:rStyle w:val="FootnoteReference"/>
        </w:rPr>
        <w:footnoteReference w:id="13"/>
      </w:r>
      <w:r>
        <w:t xml:space="preserve"> On the publication of KMTH Cohen</w:t>
      </w:r>
      <w:r w:rsidR="00C3361F">
        <w:t xml:space="preserve"> </w:t>
      </w:r>
      <w:r w:rsidR="008D0067">
        <w:t>established his position as among th</w:t>
      </w:r>
      <w:r w:rsidR="008E7965">
        <w:t>e world leading interpreters of Marx’s thought. The book is a considerable extension of the earlier paper</w:t>
      </w:r>
      <w:r w:rsidR="00C3361F">
        <w:t xml:space="preserve"> ‘On Some Criticisms of Historical Materialism</w:t>
      </w:r>
      <w:r w:rsidR="009C18BE">
        <w:t>’</w:t>
      </w:r>
      <w:r w:rsidR="008E7965">
        <w:t>, and sets out a clear account of the core of Marx’s theor</w:t>
      </w:r>
      <w:r w:rsidR="00D559D2">
        <w:t>y of history. According to Cohen</w:t>
      </w:r>
      <w:r w:rsidR="008E7965">
        <w:t xml:space="preserve"> the two central theses of historical materialism are the ‘development thesis’ and the ‘primacy thesis’. The de</w:t>
      </w:r>
      <w:r w:rsidR="00D559D2">
        <w:t>velopment thesis states that society’s</w:t>
      </w:r>
      <w:r w:rsidR="008E7965">
        <w:t xml:space="preserve"> productive forces tend to develop throughout history, in the sense that human productivity tends to become more powerful</w:t>
      </w:r>
      <w:r w:rsidR="00C3361F">
        <w:t xml:space="preserve"> over time</w:t>
      </w:r>
      <w:r w:rsidR="008E7965">
        <w:t>. The primacy thesis is a combination of two claims: that the nature of the productive forces explains the economic structure, and that the nature of the economic structure explains the superstructure</w:t>
      </w:r>
      <w:r w:rsidR="0000331A">
        <w:t xml:space="preserve"> (the claim we saw explicated and defended in the earlier paper). Put together, this</w:t>
      </w:r>
      <w:r w:rsidR="008E7965">
        <w:t xml:space="preserve"> is a form of technological determinism: the ultimate explanatory factor for all</w:t>
      </w:r>
      <w:r w:rsidR="0000331A">
        <w:t xml:space="preserve"> other significant facts about society is the nature of technology available. As Marx himself puts it,</w:t>
      </w:r>
      <w:r w:rsidR="00D559D2">
        <w:t xml:space="preserve"> in </w:t>
      </w:r>
      <w:r w:rsidR="00D559D2" w:rsidRPr="00D559D2">
        <w:rPr>
          <w:i/>
        </w:rPr>
        <w:t>The Poverty of Philosophy</w:t>
      </w:r>
      <w:r w:rsidR="00D559D2">
        <w:t>,</w:t>
      </w:r>
      <w:r w:rsidR="0000331A">
        <w:t xml:space="preserve"> ‘the hand-mill gives you society with the feudal</w:t>
      </w:r>
      <w:r w:rsidR="00D559D2">
        <w:t xml:space="preserve"> lord, the steam mill </w:t>
      </w:r>
      <w:r w:rsidR="0000331A">
        <w:t>society with the industrial capitalist’.</w:t>
      </w:r>
    </w:p>
    <w:p w:rsidR="0000331A" w:rsidRDefault="0000331A" w:rsidP="009F7F5E">
      <w:pPr>
        <w:spacing w:before="100" w:beforeAutospacing="1" w:after="100" w:afterAutospacing="1" w:line="480" w:lineRule="auto"/>
      </w:pPr>
    </w:p>
    <w:p w:rsidR="00336E47" w:rsidRDefault="0000331A" w:rsidP="009F7F5E">
      <w:pPr>
        <w:spacing w:before="100" w:beforeAutospacing="1" w:after="100" w:afterAutospacing="1" w:line="480" w:lineRule="auto"/>
      </w:pPr>
      <w:r>
        <w:t xml:space="preserve">This theory is distinctively Marxist in that it divides history into epochs – pre-class society, slavery, feudalism, capitalism, and communism – and understands the transition from epoch to epoch as the result of </w:t>
      </w:r>
      <w:r w:rsidR="000E5C76">
        <w:t>class</w:t>
      </w:r>
      <w:r w:rsidR="00D559D2">
        <w:t xml:space="preserve"> struggle</w:t>
      </w:r>
      <w:r w:rsidR="000E5C76">
        <w:t xml:space="preserve"> and revolutionary change</w:t>
      </w:r>
      <w:r w:rsidR="00D559D2">
        <w:t>. T</w:t>
      </w:r>
      <w:r>
        <w:t xml:space="preserve">he claim is that an economic structure, such as capitalism, will persist for as long as it </w:t>
      </w:r>
      <w:r w:rsidR="005A3649">
        <w:t xml:space="preserve">is </w:t>
      </w:r>
      <w:r>
        <w:t>optimal for the development of the productive forces (an application of functional explanation) but eventually it cannot contain all the growth it has stimulated</w:t>
      </w:r>
      <w:r w:rsidR="00336E47">
        <w:t>. At that point the economic structure ‘fetters’ the development of the productive forces, and must give way, to be replaced by a new economic structure that will continue the development of the productive forces.</w:t>
      </w:r>
    </w:p>
    <w:p w:rsidR="00336E47" w:rsidRDefault="00336E47" w:rsidP="009F7F5E">
      <w:pPr>
        <w:spacing w:before="100" w:beforeAutospacing="1" w:after="100" w:afterAutospacing="1" w:line="480" w:lineRule="auto"/>
      </w:pPr>
      <w:r>
        <w:t xml:space="preserve">Although the basic theory can be stated simply, KMTH is a complex book. First, it enters into many disputes </w:t>
      </w:r>
      <w:r w:rsidR="000D3716">
        <w:t xml:space="preserve"> regarding</w:t>
      </w:r>
      <w:r w:rsidR="007C0B24">
        <w:t xml:space="preserve"> the detailed understanding</w:t>
      </w:r>
      <w:r>
        <w:t xml:space="preserve"> of Marx</w:t>
      </w:r>
      <w:r w:rsidR="007C0B24">
        <w:t>, attempti</w:t>
      </w:r>
      <w:r w:rsidR="00D559D2">
        <w:t xml:space="preserve">ng to settle contested </w:t>
      </w:r>
      <w:r w:rsidR="007C0B24">
        <w:t>points of textual interpretation</w:t>
      </w:r>
      <w:r w:rsidR="00D559D2">
        <w:t>. Second, Cohen</w:t>
      </w:r>
      <w:r>
        <w:t xml:space="preserve"> builds detailed and ingenious arguments for many of the positions taken. The book, after all, is an interpretation of Marx and a defence of the view. Accordingly the discussion encompasses questions not raised by Marx, such as how to formulate and deploy the central d</w:t>
      </w:r>
      <w:r w:rsidR="007C0B24">
        <w:t>evice of functional explanation, or how to argue for the claim that the forces of production tend to develop throughout history.</w:t>
      </w:r>
    </w:p>
    <w:p w:rsidR="00336E47" w:rsidRDefault="00336E47" w:rsidP="009F7F5E">
      <w:pPr>
        <w:spacing w:before="100" w:beforeAutospacing="1" w:after="100" w:afterAutospacing="1" w:line="480" w:lineRule="auto"/>
      </w:pPr>
    </w:p>
    <w:p w:rsidR="007C0B24" w:rsidRDefault="00336E47" w:rsidP="009F7F5E">
      <w:pPr>
        <w:spacing w:before="100" w:beforeAutospacing="1" w:after="100" w:afterAutospacing="1" w:line="480" w:lineRule="auto"/>
      </w:pPr>
      <w:r>
        <w:t>On publication the book received wide acclaim. At the same time, naturally enough, it received various forms of criticism. Some of this criticism was aimed at the interpretation of Marx. One oft-made charge was that Marx’s theory of history was not, at bottom, one of technological determinism. Some of thes</w:t>
      </w:r>
      <w:r w:rsidR="00D559D2">
        <w:t>e critics pointed out that Cohen</w:t>
      </w:r>
      <w:r>
        <w:t xml:space="preserve"> had down-played Hegel’s influence on Marx, and, accordingly, had not taken seriously</w:t>
      </w:r>
      <w:r w:rsidR="007C0B24">
        <w:t xml:space="preserve"> dialectical </w:t>
      </w:r>
      <w:r w:rsidR="00D559D2">
        <w:t>forms of reasoning. However, Cohen’</w:t>
      </w:r>
      <w:r w:rsidR="007C0B24">
        <w:t xml:space="preserve">s project of incorporating analytic philosophy into Marxism was designed precisely to overcome what he saw as the </w:t>
      </w:r>
      <w:r w:rsidR="00D409DD">
        <w:t xml:space="preserve">damaging </w:t>
      </w:r>
      <w:r w:rsidR="007C0B24">
        <w:t>obscurantism of Hegelian Marxi</w:t>
      </w:r>
      <w:r w:rsidR="00180269">
        <w:t>sm</w:t>
      </w:r>
      <w:r w:rsidR="00D559D2">
        <w:t>, especially that transmitted via the work of Althusser</w:t>
      </w:r>
      <w:r w:rsidR="004A06C7">
        <w:t>.</w:t>
      </w:r>
      <w:r w:rsidR="00D559D2">
        <w:rPr>
          <w:rStyle w:val="FootnoteReference"/>
        </w:rPr>
        <w:footnoteReference w:id="14"/>
      </w:r>
      <w:r w:rsidR="00D559D2">
        <w:t xml:space="preserve"> </w:t>
      </w:r>
      <w:r w:rsidR="00180269">
        <w:t>A related, and less doctrinaire</w:t>
      </w:r>
      <w:r w:rsidR="007C0B24">
        <w:t>, criticism,</w:t>
      </w:r>
      <w:r w:rsidR="004A06C7">
        <w:t xml:space="preserve"> was that Cohen </w:t>
      </w:r>
      <w:r w:rsidR="00180269">
        <w:t xml:space="preserve">allowed only a </w:t>
      </w:r>
      <w:r w:rsidR="007C0B24">
        <w:t>relatively mi</w:t>
      </w:r>
      <w:r w:rsidR="004A06C7">
        <w:t xml:space="preserve">nor role for class struggle. In Cohen’s reading, class struggle is </w:t>
      </w:r>
      <w:r w:rsidR="007C0B24">
        <w:t>the agent of change from</w:t>
      </w:r>
      <w:r w:rsidR="004A06C7">
        <w:t xml:space="preserve"> epoch to epoch, rather than </w:t>
      </w:r>
      <w:r w:rsidR="007C0B24">
        <w:t>the engine of history at all times</w:t>
      </w:r>
      <w:r w:rsidR="00180269">
        <w:t>, as appears to be indicated by Marx’s remark that ‘history is the history of class struggle</w:t>
      </w:r>
      <w:r w:rsidR="004A06C7">
        <w:t>’. Yet Cohen</w:t>
      </w:r>
      <w:r w:rsidR="007C0B24">
        <w:t xml:space="preserve"> was convinced that his interpretation of M</w:t>
      </w:r>
      <w:r w:rsidR="00565F13">
        <w:t>arx was correct on this point, accepting that class struggle is the ‘immediate</w:t>
      </w:r>
      <w:r w:rsidR="00CC106F">
        <w:t xml:space="preserve"> driving power of history’ but not its ‘underlying’ driving force</w:t>
      </w:r>
      <w:r w:rsidR="004A06C7">
        <w:t>.</w:t>
      </w:r>
      <w:r w:rsidR="004A06C7">
        <w:rPr>
          <w:rStyle w:val="FootnoteReference"/>
        </w:rPr>
        <w:footnoteReference w:id="15"/>
      </w:r>
      <w:r w:rsidR="004A06C7">
        <w:t xml:space="preserve"> </w:t>
      </w:r>
    </w:p>
    <w:p w:rsidR="00B930FB" w:rsidRDefault="007C0B24" w:rsidP="009F7F5E">
      <w:pPr>
        <w:spacing w:before="100" w:beforeAutospacing="1" w:after="100" w:afterAutospacing="1" w:line="480" w:lineRule="auto"/>
      </w:pPr>
      <w:r>
        <w:t>Other lines of criticism concerned the theory itself, rather than whether it was a true depiction of Marx’s t</w:t>
      </w:r>
      <w:r w:rsidR="005A6BAA">
        <w:t xml:space="preserve">hought. Jon Elster, for example, strongly criticized the use of functional explanation, arguing that it retained an unacceptable teleology. As Elster observes, suggesting that economic structures rise and fall as </w:t>
      </w:r>
      <w:r w:rsidR="000D3716">
        <w:t xml:space="preserve">they </w:t>
      </w:r>
      <w:r w:rsidR="005A6BAA">
        <w:t xml:space="preserve">further or </w:t>
      </w:r>
      <w:r w:rsidR="000D3716">
        <w:t xml:space="preserve">impede </w:t>
      </w:r>
      <w:r w:rsidR="005A6BAA">
        <w:t>human productive power seems to assume that history is goal directed, or even that there is some sort of external agency ensuring that progress continues to be made.</w:t>
      </w:r>
      <w:r w:rsidR="00CE2DB7">
        <w:rPr>
          <w:rStyle w:val="FootnoteReference"/>
        </w:rPr>
        <w:footnoteReference w:id="16"/>
      </w:r>
      <w:r w:rsidR="00BE03F8">
        <w:t xml:space="preserve"> </w:t>
      </w:r>
      <w:r w:rsidR="00D409DD">
        <w:t xml:space="preserve">Andrew </w:t>
      </w:r>
      <w:r w:rsidR="00BE03F8">
        <w:t>Levine</w:t>
      </w:r>
      <w:r w:rsidR="00180269" w:rsidRPr="00180269">
        <w:t xml:space="preserve"> </w:t>
      </w:r>
      <w:r w:rsidR="00D409DD">
        <w:t xml:space="preserve">and Erik </w:t>
      </w:r>
      <w:r w:rsidR="00913497">
        <w:t xml:space="preserve">Wright </w:t>
      </w:r>
      <w:r w:rsidR="009720AB">
        <w:t xml:space="preserve">take issue with </w:t>
      </w:r>
      <w:r w:rsidR="00913497">
        <w:t>Cohen</w:t>
      </w:r>
      <w:r w:rsidR="00180269">
        <w:t>’s argument that the development of the productive forces can be explained in terms of what they call ‘rational adaptive preferences’</w:t>
      </w:r>
      <w:r w:rsidR="009720AB">
        <w:t>. They suggest that Cohen</w:t>
      </w:r>
      <w:r w:rsidR="00180269">
        <w:t xml:space="preserve"> does not take </w:t>
      </w:r>
      <w:r w:rsidR="00913497">
        <w:t xml:space="preserve">sufficiently </w:t>
      </w:r>
      <w:r w:rsidR="00180269">
        <w:t>into account</w:t>
      </w:r>
      <w:r w:rsidR="00913497">
        <w:t xml:space="preserve"> problems of collective action.</w:t>
      </w:r>
      <w:r w:rsidR="00913497">
        <w:rPr>
          <w:rStyle w:val="FootnoteReference"/>
        </w:rPr>
        <w:footnoteReference w:id="17"/>
      </w:r>
      <w:r w:rsidR="00913497">
        <w:t xml:space="preserve"> </w:t>
      </w:r>
      <w:r w:rsidR="00180269">
        <w:t xml:space="preserve">Joshua Cohen made similar criticisms and adduced evidence that there have been long stretches of history in which the productive forces declined in strength (most notably </w:t>
      </w:r>
      <w:r w:rsidR="009720AB">
        <w:t>on the fall of the Roman Empire</w:t>
      </w:r>
      <w:r w:rsidR="00180269">
        <w:t>)</w:t>
      </w:r>
      <w:r w:rsidR="009720AB">
        <w:t>.</w:t>
      </w:r>
      <w:r w:rsidR="00913497">
        <w:rPr>
          <w:rStyle w:val="FootnoteReference"/>
        </w:rPr>
        <w:footnoteReference w:id="18"/>
      </w:r>
      <w:r w:rsidR="00180269">
        <w:t xml:space="preserve"> Richard Miller pointed out that the account of fettering was unclear.</w:t>
      </w:r>
      <w:r w:rsidR="00913497">
        <w:rPr>
          <w:rStyle w:val="FootnoteReference"/>
        </w:rPr>
        <w:footnoteReference w:id="19"/>
      </w:r>
      <w:r w:rsidR="00180269">
        <w:t xml:space="preserve"> Did the productive forces have to stop developing, or was it enough that they developed more slowly than they would under some other economic structure? Furthermore, the use of the productive</w:t>
      </w:r>
      <w:r w:rsidR="00B930FB">
        <w:t xml:space="preserve"> forces and their development are quite different. One could argue that capitalism greatly develops the productive forces but uses them poorly. Is this fettering or not?</w:t>
      </w:r>
    </w:p>
    <w:p w:rsidR="005A6BAA" w:rsidRDefault="005A6BAA" w:rsidP="009F7F5E">
      <w:pPr>
        <w:spacing w:before="100" w:beforeAutospacing="1" w:after="100" w:afterAutospacing="1" w:line="480" w:lineRule="auto"/>
      </w:pPr>
    </w:p>
    <w:p w:rsidR="005A6BAA" w:rsidRDefault="005A6BAA" w:rsidP="009F7F5E">
      <w:pPr>
        <w:spacing w:before="100" w:beforeAutospacing="1" w:after="100" w:afterAutospacing="1" w:line="480" w:lineRule="auto"/>
      </w:pPr>
      <w:r>
        <w:t xml:space="preserve">Each of these criticisms brought forward important responses and further clarifications </w:t>
      </w:r>
      <w:r w:rsidR="00913497">
        <w:t xml:space="preserve">of the theory. </w:t>
      </w:r>
      <w:r w:rsidR="000D3716">
        <w:t xml:space="preserve"> In response to </w:t>
      </w:r>
      <w:r w:rsidR="00913497">
        <w:t xml:space="preserve"> Elster, Cohen </w:t>
      </w:r>
      <w:r>
        <w:t>pursued the analogy with the Darwinian use of functional explanation in evolutionary biology, which does not pre-suppose teleology or ‘nature’s purposes’.</w:t>
      </w:r>
      <w:r w:rsidR="00B72F0C">
        <w:rPr>
          <w:rStyle w:val="FootnoteReference"/>
        </w:rPr>
        <w:footnoteReference w:id="20"/>
      </w:r>
      <w:r>
        <w:t xml:space="preserve"> </w:t>
      </w:r>
      <w:r w:rsidR="00E45D5C">
        <w:t xml:space="preserve">In response to </w:t>
      </w:r>
      <w:r>
        <w:t>Joshua Coh</w:t>
      </w:r>
      <w:r w:rsidR="00B72F0C">
        <w:t>en, and Levine and Wright, Cohen</w:t>
      </w:r>
      <w:r>
        <w:t xml:space="preserve">, together with Will Kymlicka, wrote a detailed rebuttal of </w:t>
      </w:r>
      <w:r w:rsidR="00E45D5C">
        <w:t>their</w:t>
      </w:r>
      <w:r>
        <w:t xml:space="preserve"> argument,</w:t>
      </w:r>
      <w:r w:rsidR="00B72F0C">
        <w:rPr>
          <w:rStyle w:val="FootnoteReference"/>
        </w:rPr>
        <w:footnoteReference w:id="21"/>
      </w:r>
      <w:r w:rsidR="0043256D">
        <w:t xml:space="preserve"> and </w:t>
      </w:r>
      <w:r w:rsidR="00E45D5C">
        <w:t xml:space="preserve">in response to </w:t>
      </w:r>
      <w:r w:rsidR="0043256D">
        <w:t>Richard Miller, Cohen</w:t>
      </w:r>
      <w:r>
        <w:t xml:space="preserve"> broadly accepted the criticism that the theory of fettering was unclear, and</w:t>
      </w:r>
      <w:r w:rsidR="00B930FB">
        <w:t xml:space="preserve"> wrote a detailed clarification, which was </w:t>
      </w:r>
      <w:r w:rsidR="0043256D">
        <w:t xml:space="preserve">first published in </w:t>
      </w:r>
      <w:r w:rsidR="0043256D" w:rsidRPr="0043256D">
        <w:rPr>
          <w:i/>
        </w:rPr>
        <w:t>History Labour and Freedom</w:t>
      </w:r>
      <w:r w:rsidR="0043256D">
        <w:t xml:space="preserve"> and </w:t>
      </w:r>
      <w:r w:rsidR="009720AB">
        <w:t xml:space="preserve">was </w:t>
      </w:r>
      <w:r w:rsidR="00B930FB">
        <w:t>ultimately incorporated as an ad</w:t>
      </w:r>
      <w:r w:rsidR="0043256D">
        <w:t xml:space="preserve">ditional chapter in the extended </w:t>
      </w:r>
      <w:r w:rsidR="00B930FB">
        <w:t xml:space="preserve">edition of </w:t>
      </w:r>
      <w:r w:rsidR="00B930FB" w:rsidRPr="0043256D">
        <w:rPr>
          <w:i/>
        </w:rPr>
        <w:t>KMTH</w:t>
      </w:r>
      <w:r w:rsidR="0043256D">
        <w:t>.</w:t>
      </w:r>
      <w:r w:rsidR="00B930FB">
        <w:t xml:space="preserve"> </w:t>
      </w:r>
    </w:p>
    <w:p w:rsidR="00B930FB" w:rsidRDefault="005A6BAA" w:rsidP="009F7F5E">
      <w:pPr>
        <w:spacing w:before="100" w:beforeAutospacing="1" w:after="100" w:afterAutospacing="1" w:line="480" w:lineRule="auto"/>
      </w:pPr>
      <w:r>
        <w:t>Yet in the face of these cri</w:t>
      </w:r>
      <w:r w:rsidR="0043256D">
        <w:t>ticisms and reformulations Cohen</w:t>
      </w:r>
      <w:r>
        <w:t xml:space="preserve"> </w:t>
      </w:r>
      <w:r w:rsidR="00B204E6">
        <w:t>bega</w:t>
      </w:r>
      <w:r w:rsidR="00C3361F">
        <w:t>n to see that the theory was not as clear-cut as he h</w:t>
      </w:r>
      <w:r w:rsidR="0043256D">
        <w:t xml:space="preserve">ad thought. He also had began to develop </w:t>
      </w:r>
      <w:r w:rsidR="00C3361F">
        <w:t xml:space="preserve">reservations </w:t>
      </w:r>
      <w:r w:rsidR="0043256D">
        <w:t xml:space="preserve">of his own especially </w:t>
      </w:r>
      <w:r w:rsidR="00C3361F">
        <w:t>about historical materialism</w:t>
      </w:r>
      <w:r w:rsidR="00BE03F8">
        <w:t>’s</w:t>
      </w:r>
      <w:r w:rsidR="00C3361F">
        <w:t xml:space="preserve"> apparent ne</w:t>
      </w:r>
      <w:r w:rsidR="00D409DD">
        <w:t>glect of people’s apparent need</w:t>
      </w:r>
      <w:r w:rsidR="0043256D">
        <w:t xml:space="preserve"> for self-definition: that is, the need</w:t>
      </w:r>
      <w:r w:rsidR="00395339">
        <w:t xml:space="preserve"> </w:t>
      </w:r>
      <w:r w:rsidR="00C3361F">
        <w:t>to identify with groups in society that are less than the whole</w:t>
      </w:r>
      <w:r w:rsidR="0043256D">
        <w:t>. This in turn leads Marxism to a dismissive and reductionist approach to</w:t>
      </w:r>
      <w:r w:rsidR="00173A8A">
        <w:t xml:space="preserve"> religion and </w:t>
      </w:r>
      <w:r w:rsidR="00395339">
        <w:t>nationalism</w:t>
      </w:r>
      <w:r w:rsidR="00C3361F">
        <w:t xml:space="preserve">. These anxieties are recorded in two </w:t>
      </w:r>
      <w:r w:rsidR="00B930FB">
        <w:t xml:space="preserve">other </w:t>
      </w:r>
      <w:r w:rsidR="00C3361F">
        <w:t>papers</w:t>
      </w:r>
      <w:r w:rsidR="00B930FB">
        <w:t xml:space="preserve"> that also appear</w:t>
      </w:r>
      <w:r w:rsidR="0043256D">
        <w:t xml:space="preserve">ed first in </w:t>
      </w:r>
      <w:r w:rsidR="0043256D" w:rsidRPr="00D409DD">
        <w:rPr>
          <w:i/>
        </w:rPr>
        <w:t>History, Labour and Freedom</w:t>
      </w:r>
      <w:r w:rsidR="0043256D">
        <w:t xml:space="preserve"> and then in the expanded</w:t>
      </w:r>
      <w:r w:rsidR="00B930FB">
        <w:t xml:space="preserve"> edition of KMTH: </w:t>
      </w:r>
      <w:r w:rsidR="0043256D">
        <w:t xml:space="preserve">‘Reconsidering Historical Materialism’, and </w:t>
      </w:r>
      <w:r w:rsidR="00B930FB">
        <w:t>‘Restricted and Inclusive Historical Materialism’</w:t>
      </w:r>
      <w:r w:rsidR="0043256D">
        <w:t xml:space="preserve">. </w:t>
      </w:r>
      <w:r w:rsidR="00B930FB">
        <w:t xml:space="preserve">Others might, at this point, have seen the enterprise as a ‘degenerating research programme’. Instead of using the theory to illuminate and explain ever more aspects of empirical reality, it appeared </w:t>
      </w:r>
      <w:r w:rsidR="0043256D">
        <w:t xml:space="preserve">to require </w:t>
      </w:r>
      <w:r w:rsidR="00D409DD">
        <w:t>increasingly</w:t>
      </w:r>
      <w:r w:rsidR="0043256D">
        <w:t xml:space="preserve"> intricate</w:t>
      </w:r>
      <w:r w:rsidR="00B930FB">
        <w:t xml:space="preserve"> internal development, specification and qualification, to defend it against criticism, thereby reducing its </w:t>
      </w:r>
      <w:r w:rsidR="0043256D">
        <w:t>explanatory power. Indeed, Cohen</w:t>
      </w:r>
      <w:r w:rsidR="00B930FB">
        <w:t xml:space="preserve"> explains that his attitude to historical materialism </w:t>
      </w:r>
      <w:r w:rsidR="0014735D">
        <w:t xml:space="preserve">had </w:t>
      </w:r>
      <w:r w:rsidR="00B930FB">
        <w:t xml:space="preserve">changed on completing the book. </w:t>
      </w:r>
      <w:r w:rsidR="000D3AC8">
        <w:t>While writing it</w:t>
      </w:r>
      <w:r w:rsidR="00FB1F11" w:rsidRPr="00FE6008">
        <w:t xml:space="preserve"> he was sure that Marx’s theory of history was correct. After, he said, it was </w:t>
      </w:r>
      <w:r w:rsidR="00FB1F11">
        <w:t xml:space="preserve">not </w:t>
      </w:r>
      <w:r w:rsidR="00FB1F11" w:rsidRPr="00FE6008">
        <w:t>so much that he believed it to be false, but that he did not know how to t</w:t>
      </w:r>
      <w:r w:rsidR="0043256D">
        <w:t>ell whether or not it was true.</w:t>
      </w:r>
      <w:r w:rsidR="0043256D">
        <w:rPr>
          <w:rStyle w:val="FootnoteReference"/>
        </w:rPr>
        <w:footnoteReference w:id="22"/>
      </w:r>
      <w:r w:rsidR="00D409DD">
        <w:t xml:space="preserve"> </w:t>
      </w:r>
    </w:p>
    <w:p w:rsidR="00565F13" w:rsidRDefault="0043256D" w:rsidP="009F7F5E">
      <w:pPr>
        <w:spacing w:before="100" w:beforeAutospacing="1" w:after="100" w:afterAutospacing="1" w:line="480" w:lineRule="auto"/>
        <w:rPr>
          <w:rFonts w:cs="Times New Roman"/>
          <w:szCs w:val="26"/>
        </w:rPr>
      </w:pPr>
      <w:r>
        <w:t xml:space="preserve">During this time Cohen </w:t>
      </w:r>
      <w:r w:rsidR="00B930FB">
        <w:t xml:space="preserve">was a founder and very active member of the </w:t>
      </w:r>
      <w:r w:rsidR="00565F13">
        <w:t>Non</w:t>
      </w:r>
      <w:r w:rsidR="00B930FB">
        <w:t>-Bullshit Marxis</w:t>
      </w:r>
      <w:r w:rsidR="00145B84">
        <w:t>m</w:t>
      </w:r>
      <w:r w:rsidR="00B930FB">
        <w:t xml:space="preserve"> Group</w:t>
      </w:r>
      <w:r w:rsidR="009720AB">
        <w:t xml:space="preserve"> (later called the September Group)</w:t>
      </w:r>
      <w:r w:rsidR="00B930FB">
        <w:t>, which was a remarkable, interdisciplinary group of sch</w:t>
      </w:r>
      <w:r w:rsidR="000E5C76">
        <w:t xml:space="preserve">olars who </w:t>
      </w:r>
      <w:r w:rsidR="009720AB">
        <w:t xml:space="preserve">first </w:t>
      </w:r>
      <w:r w:rsidR="000E5C76">
        <w:t>met</w:t>
      </w:r>
      <w:r w:rsidR="00B930FB">
        <w:t xml:space="preserve"> in 1979</w:t>
      </w:r>
      <w:r w:rsidR="000E5C76">
        <w:t xml:space="preserve"> and again 1980</w:t>
      </w:r>
      <w:r w:rsidR="00B930FB">
        <w:t>, to discuss exploitation</w:t>
      </w:r>
      <w:r w:rsidR="009720AB">
        <w:t>. They then</w:t>
      </w:r>
      <w:r w:rsidR="000E5C76">
        <w:t xml:space="preserve"> met</w:t>
      </w:r>
      <w:r w:rsidR="009720AB">
        <w:t xml:space="preserve"> annually, and then biennially</w:t>
      </w:r>
      <w:r w:rsidR="000E5C76">
        <w:t>, to discuss wider themes</w:t>
      </w:r>
      <w:r w:rsidR="00B930FB">
        <w:t>. The core membership of the o</w:t>
      </w:r>
      <w:r>
        <w:t>riginal group, aside from Cohen</w:t>
      </w:r>
      <w:r w:rsidR="00D409DD">
        <w:t>,</w:t>
      </w:r>
      <w:r w:rsidR="00B930FB">
        <w:t xml:space="preserve"> were </w:t>
      </w:r>
      <w:r w:rsidR="00B930FB" w:rsidRPr="00565F13">
        <w:t xml:space="preserve">Jon Elster, </w:t>
      </w:r>
      <w:r w:rsidRPr="00565F13">
        <w:t xml:space="preserve">John Roemer, </w:t>
      </w:r>
      <w:r w:rsidR="00B930FB" w:rsidRPr="00565F13">
        <w:t>Hillel Steiner, Philippe van Parijs, Robert van der Veen</w:t>
      </w:r>
      <w:r w:rsidR="00565F13" w:rsidRPr="00565F13">
        <w:t xml:space="preserve">, </w:t>
      </w:r>
      <w:r w:rsidR="00565F13" w:rsidRPr="00565F13">
        <w:rPr>
          <w:rFonts w:cs="Helvetica"/>
          <w:szCs w:val="26"/>
        </w:rPr>
        <w:t>Adam Przeworski</w:t>
      </w:r>
      <w:r w:rsidR="00565F13" w:rsidRPr="00565F13">
        <w:rPr>
          <w:rFonts w:cs="Times New Roman"/>
          <w:szCs w:val="26"/>
        </w:rPr>
        <w:t>, Erik Olin Wright</w:t>
      </w:r>
      <w:r w:rsidR="00565F13">
        <w:rPr>
          <w:rFonts w:cs="Times New Roman"/>
          <w:szCs w:val="26"/>
        </w:rPr>
        <w:t xml:space="preserve">, </w:t>
      </w:r>
      <w:r w:rsidR="0079732A">
        <w:rPr>
          <w:rFonts w:cs="Times New Roman"/>
          <w:szCs w:val="26"/>
        </w:rPr>
        <w:t xml:space="preserve">Pranab Bardhan and Robert Brenner, </w:t>
      </w:r>
      <w:r w:rsidR="00565F13">
        <w:rPr>
          <w:rFonts w:cs="Times New Roman"/>
          <w:szCs w:val="26"/>
        </w:rPr>
        <w:t>although the membership changed considerably over the years.</w:t>
      </w:r>
    </w:p>
    <w:p w:rsidR="00565F13" w:rsidRDefault="00565F13" w:rsidP="009F7F5E">
      <w:pPr>
        <w:spacing w:before="100" w:beforeAutospacing="1" w:after="100" w:afterAutospacing="1" w:line="480" w:lineRule="auto"/>
        <w:rPr>
          <w:rFonts w:cs="Times New Roman"/>
          <w:szCs w:val="26"/>
        </w:rPr>
      </w:pPr>
      <w:r>
        <w:rPr>
          <w:rFonts w:cs="Times New Roman"/>
          <w:szCs w:val="26"/>
        </w:rPr>
        <w:t xml:space="preserve">The September Group was founded to discuss themes within Marxism, but their allegiance to the themes lasted longer, typically, than their allegiance to Marx. This development was foreshadowed, to some degree, </w:t>
      </w:r>
      <w:r w:rsidR="0043256D">
        <w:rPr>
          <w:rFonts w:cs="Times New Roman"/>
          <w:szCs w:val="26"/>
        </w:rPr>
        <w:t>by Cohen</w:t>
      </w:r>
      <w:r>
        <w:rPr>
          <w:rFonts w:cs="Times New Roman"/>
          <w:szCs w:val="26"/>
        </w:rPr>
        <w:t xml:space="preserve">’s earlier paper ‘The Labour Theory of Value and the Concept of Exploitation’ in which he had argued that the concept of exploitation does not rest on the </w:t>
      </w:r>
      <w:r w:rsidR="0043256D">
        <w:rPr>
          <w:rFonts w:cs="Times New Roman"/>
          <w:szCs w:val="26"/>
        </w:rPr>
        <w:t>labour theory of value. As Cohen</w:t>
      </w:r>
      <w:r>
        <w:rPr>
          <w:rFonts w:cs="Times New Roman"/>
          <w:szCs w:val="26"/>
        </w:rPr>
        <w:t xml:space="preserve"> continued to work in the 1980s and beyond, one might characterize his writings as working out how </w:t>
      </w:r>
      <w:r w:rsidR="0020268D">
        <w:rPr>
          <w:rFonts w:cs="Times New Roman"/>
          <w:szCs w:val="26"/>
        </w:rPr>
        <w:t>to formulate his</w:t>
      </w:r>
      <w:r>
        <w:rPr>
          <w:rFonts w:cs="Times New Roman"/>
          <w:szCs w:val="26"/>
        </w:rPr>
        <w:t xml:space="preserve"> opposition to capitalism and allegiance to socialism </w:t>
      </w:r>
      <w:r w:rsidR="0020268D">
        <w:rPr>
          <w:rFonts w:cs="Times New Roman"/>
          <w:szCs w:val="26"/>
        </w:rPr>
        <w:t>without the underpinnings of</w:t>
      </w:r>
      <w:r>
        <w:rPr>
          <w:rFonts w:cs="Times New Roman"/>
          <w:szCs w:val="26"/>
        </w:rPr>
        <w:t xml:space="preserve"> Marx’s theory of history.</w:t>
      </w:r>
      <w:r w:rsidR="0020268D">
        <w:rPr>
          <w:rFonts w:cs="Times New Roman"/>
          <w:szCs w:val="26"/>
        </w:rPr>
        <w:t xml:space="preserve"> As he put it, ‘In the past, there seemed to be no need to </w:t>
      </w:r>
      <w:r w:rsidR="0020268D" w:rsidRPr="0020268D">
        <w:rPr>
          <w:rFonts w:cs="Times New Roman"/>
          <w:i/>
          <w:szCs w:val="26"/>
        </w:rPr>
        <w:t>argue</w:t>
      </w:r>
      <w:r w:rsidR="0020268D">
        <w:rPr>
          <w:rFonts w:cs="Times New Roman"/>
          <w:szCs w:val="26"/>
        </w:rPr>
        <w:t xml:space="preserve"> for the </w:t>
      </w:r>
      <w:r w:rsidR="00D409DD">
        <w:rPr>
          <w:rFonts w:cs="Times New Roman"/>
          <w:szCs w:val="26"/>
        </w:rPr>
        <w:t xml:space="preserve">desirability of an egalitarian </w:t>
      </w:r>
      <w:r w:rsidR="0020268D">
        <w:rPr>
          <w:rFonts w:cs="Times New Roman"/>
          <w:szCs w:val="26"/>
        </w:rPr>
        <w:t>socialist society. Now I do little else.’</w:t>
      </w:r>
      <w:r w:rsidR="0043256D">
        <w:rPr>
          <w:rStyle w:val="FootnoteReference"/>
          <w:rFonts w:cs="Times New Roman"/>
          <w:szCs w:val="26"/>
        </w:rPr>
        <w:footnoteReference w:id="23"/>
      </w:r>
      <w:r w:rsidR="0020268D">
        <w:rPr>
          <w:rFonts w:cs="Times New Roman"/>
          <w:szCs w:val="26"/>
        </w:rPr>
        <w:t xml:space="preserve"> </w:t>
      </w:r>
    </w:p>
    <w:p w:rsidR="00BE03F8" w:rsidRPr="00565F13" w:rsidRDefault="00565F13" w:rsidP="009F7F5E">
      <w:pPr>
        <w:spacing w:before="100" w:beforeAutospacing="1" w:after="100" w:afterAutospacing="1" w:line="480" w:lineRule="auto"/>
      </w:pPr>
      <w:r>
        <w:rPr>
          <w:rFonts w:cs="Times New Roman"/>
          <w:szCs w:val="26"/>
        </w:rPr>
        <w:t>This next phase in his career takes up themes that emerged in his criticism of Nozick: the relation between capitalism, socialism and freedom, and the nature and  consequences of th</w:t>
      </w:r>
      <w:r w:rsidR="0043256D">
        <w:rPr>
          <w:rFonts w:cs="Times New Roman"/>
          <w:szCs w:val="26"/>
        </w:rPr>
        <w:t>e thesis of self-ownership. These</w:t>
      </w:r>
      <w:r>
        <w:rPr>
          <w:rFonts w:cs="Times New Roman"/>
          <w:szCs w:val="26"/>
        </w:rPr>
        <w:t xml:space="preserve"> </w:t>
      </w:r>
      <w:r w:rsidR="000D3AC8">
        <w:rPr>
          <w:rFonts w:cs="Times New Roman"/>
          <w:szCs w:val="26"/>
        </w:rPr>
        <w:t>are the topics of</w:t>
      </w:r>
      <w:r>
        <w:rPr>
          <w:rFonts w:cs="Times New Roman"/>
          <w:szCs w:val="26"/>
        </w:rPr>
        <w:t xml:space="preserve"> the last few papers reprinted in </w:t>
      </w:r>
      <w:r w:rsidRPr="0043256D">
        <w:rPr>
          <w:rFonts w:cs="Times New Roman"/>
          <w:i/>
          <w:szCs w:val="26"/>
        </w:rPr>
        <w:t>History, Labour and Freedom</w:t>
      </w:r>
      <w:r>
        <w:rPr>
          <w:rFonts w:cs="Times New Roman"/>
          <w:szCs w:val="26"/>
        </w:rPr>
        <w:t xml:space="preserve">, and all of his next collection, </w:t>
      </w:r>
      <w:r w:rsidRPr="0043256D">
        <w:rPr>
          <w:rFonts w:cs="Times New Roman"/>
          <w:i/>
          <w:szCs w:val="26"/>
        </w:rPr>
        <w:t>Self-Ownership, World Ownership and Equality</w:t>
      </w:r>
      <w:r>
        <w:rPr>
          <w:rFonts w:cs="Times New Roman"/>
          <w:szCs w:val="26"/>
        </w:rPr>
        <w:t>.</w:t>
      </w:r>
    </w:p>
    <w:p w:rsidR="0081688C" w:rsidRDefault="0043256D" w:rsidP="009F7F5E">
      <w:pPr>
        <w:spacing w:before="100" w:beforeAutospacing="1" w:after="100" w:afterAutospacing="1" w:line="480" w:lineRule="auto"/>
      </w:pPr>
      <w:r>
        <w:t>Cohen</w:t>
      </w:r>
      <w:r w:rsidR="0081688C">
        <w:t xml:space="preserve"> in the 1980s, was especially exercised by the Marx-inspired question of how to understand the unfreedom </w:t>
      </w:r>
      <w:r w:rsidR="00185616">
        <w:t xml:space="preserve">of </w:t>
      </w:r>
      <w:r w:rsidR="00D409DD">
        <w:t xml:space="preserve">workers under capitalism, given that </w:t>
      </w:r>
      <w:r w:rsidR="0081688C">
        <w:t xml:space="preserve">they exist in a structure which places freedom of choice at its centre, and no worker is forced, so it appears, to work for any particular capitalist. </w:t>
      </w:r>
      <w:r w:rsidR="00185616">
        <w:t>Yet at the same time there seems to be a vital sense in which workers i</w:t>
      </w:r>
      <w:r w:rsidR="00263F25">
        <w:t xml:space="preserve">n the capitalist system remain </w:t>
      </w:r>
      <w:r w:rsidR="00185616">
        <w:t xml:space="preserve">unfree. </w:t>
      </w:r>
      <w:r w:rsidR="0081688C">
        <w:t xml:space="preserve">One important part of the analysis is to provide a definition of being forced to do something in which saying that a person is forced to do something does not mean that it is the only option available to </w:t>
      </w:r>
      <w:r w:rsidR="00D34CB9">
        <w:t>him</w:t>
      </w:r>
      <w:r w:rsidR="000E5C76">
        <w:t xml:space="preserve"> or her</w:t>
      </w:r>
      <w:r w:rsidR="0081688C">
        <w:t xml:space="preserve">, but that any other options </w:t>
      </w:r>
      <w:r w:rsidR="00D34CB9">
        <w:t xml:space="preserve">he </w:t>
      </w:r>
      <w:r w:rsidR="000E5C76">
        <w:t xml:space="preserve">or she </w:t>
      </w:r>
      <w:r w:rsidR="00D34CB9">
        <w:t xml:space="preserve">has </w:t>
      </w:r>
      <w:r w:rsidR="00867EC9">
        <w:t xml:space="preserve">are </w:t>
      </w:r>
      <w:r w:rsidR="0081688C">
        <w:t xml:space="preserve">not acceptable or reasonable </w:t>
      </w:r>
      <w:r w:rsidR="00185616">
        <w:t>.</w:t>
      </w:r>
      <w:r w:rsidR="00185616">
        <w:rPr>
          <w:rStyle w:val="FootnoteReference"/>
        </w:rPr>
        <w:footnoteReference w:id="24"/>
      </w:r>
    </w:p>
    <w:p w:rsidR="00A86862" w:rsidRDefault="0081688C" w:rsidP="009F7F5E">
      <w:pPr>
        <w:spacing w:before="100" w:beforeAutospacing="1" w:after="100" w:afterAutospacing="1" w:line="480" w:lineRule="auto"/>
      </w:pPr>
      <w:r>
        <w:t>One obvious re</w:t>
      </w:r>
      <w:r w:rsidR="00B60DD0">
        <w:t>s</w:t>
      </w:r>
      <w:r>
        <w:t>ponse to the claim that workers are forced to sell their labour</w:t>
      </w:r>
      <w:r w:rsidR="00845E9E">
        <w:t>-power</w:t>
      </w:r>
      <w:r>
        <w:t xml:space="preserve"> to the capitalists, on this definition, is that workers do have an acceptable alt</w:t>
      </w:r>
      <w:r w:rsidR="00E85846">
        <w:t xml:space="preserve">ernative; they can become petty </w:t>
      </w:r>
      <w:r>
        <w:t>bourgeois shop owners or self-</w:t>
      </w:r>
      <w:r w:rsidR="00185616">
        <w:t>employed in some way. Here Cohen</w:t>
      </w:r>
      <w:r>
        <w:t xml:space="preserve"> accepts that this es</w:t>
      </w:r>
      <w:r w:rsidR="00185616">
        <w:t xml:space="preserve">cape route is available to some </w:t>
      </w:r>
      <w:r>
        <w:t xml:space="preserve">workers, yet, he argues, although </w:t>
      </w:r>
      <w:r w:rsidR="00185616">
        <w:t>any individual worker is</w:t>
      </w:r>
      <w:r>
        <w:t xml:space="preserve"> free to leave the proletariat, the proletariat is collectively unfree, for there are nothing like as many escape routes as there </w:t>
      </w:r>
      <w:r w:rsidR="00185616">
        <w:t>are members of the proletariat.</w:t>
      </w:r>
      <w:r w:rsidR="00185616">
        <w:rPr>
          <w:rStyle w:val="FootnoteReference"/>
        </w:rPr>
        <w:footnoteReference w:id="25"/>
      </w:r>
    </w:p>
    <w:p w:rsidR="00EE7B1B" w:rsidRDefault="00A86862" w:rsidP="009F7F5E">
      <w:pPr>
        <w:spacing w:before="100" w:beforeAutospacing="1" w:after="100" w:afterAutospacing="1" w:line="480" w:lineRule="auto"/>
      </w:pPr>
      <w:r>
        <w:t>The notion of the worker’s right to freedom and the thesis of self-ownership are linked</w:t>
      </w:r>
      <w:r w:rsidR="0012327C">
        <w:t xml:space="preserve"> through the idea of </w:t>
      </w:r>
      <w:r w:rsidR="00185616">
        <w:t xml:space="preserve">a </w:t>
      </w:r>
      <w:r w:rsidR="00416542">
        <w:t xml:space="preserve">person’s </w:t>
      </w:r>
      <w:r w:rsidR="00185616">
        <w:t>right</w:t>
      </w:r>
      <w:r w:rsidR="0012327C">
        <w:t xml:space="preserve"> to control</w:t>
      </w:r>
      <w:r w:rsidR="00185616">
        <w:t xml:space="preserve"> their </w:t>
      </w:r>
      <w:r w:rsidR="001D297B">
        <w:t>actions</w:t>
      </w:r>
      <w:r w:rsidR="00185616">
        <w:t xml:space="preserve"> and labour. Cohen </w:t>
      </w:r>
      <w:r>
        <w:t>characterizes self-ownership as the thesis that ‘each person enjoys over herself and her powers, full and exclusive rights of control and use, and therefore owes no service or product to anyone else that she has not contracted to supply</w:t>
      </w:r>
      <w:r w:rsidR="00EE7B1B">
        <w:t>’</w:t>
      </w:r>
      <w:r w:rsidR="00185616">
        <w:t>.</w:t>
      </w:r>
      <w:r w:rsidR="00185616">
        <w:rPr>
          <w:rStyle w:val="FootnoteReference"/>
        </w:rPr>
        <w:footnoteReference w:id="26"/>
      </w:r>
      <w:r w:rsidR="00185616">
        <w:t xml:space="preserve"> </w:t>
      </w:r>
      <w:r w:rsidR="00EE7B1B">
        <w:t xml:space="preserve">This is, of course, qualified by the condition that rights of self-ownership do not permit one to interfere coercively into the lives of others. </w:t>
      </w:r>
      <w:r w:rsidR="000D3AC8">
        <w:t xml:space="preserve">In a series of papers </w:t>
      </w:r>
      <w:r w:rsidR="00185616">
        <w:t xml:space="preserve">Cohen </w:t>
      </w:r>
      <w:r>
        <w:t>consider</w:t>
      </w:r>
      <w:r w:rsidR="00185616">
        <w:t>ed</w:t>
      </w:r>
      <w:r>
        <w:t xml:space="preserve"> the relation between self-ownership and what he refers to as ‘w</w:t>
      </w:r>
      <w:r w:rsidR="000D3AC8">
        <w:t>orld-ownership’: rights over</w:t>
      </w:r>
      <w:r>
        <w:t xml:space="preserve"> those parts of the world that are not persons.</w:t>
      </w:r>
      <w:r w:rsidR="0012327C">
        <w:t xml:space="preserve"> Essentially </w:t>
      </w:r>
      <w:r w:rsidR="00185616">
        <w:t>Cohen set out to rebut the Nozickian argument</w:t>
      </w:r>
      <w:r w:rsidR="0012327C">
        <w:t xml:space="preserve"> that rights to self-ownership entail rights to world-ownership </w:t>
      </w:r>
      <w:r w:rsidR="00263F25">
        <w:t xml:space="preserve">(i.e. individual property rights) </w:t>
      </w:r>
      <w:r w:rsidR="0012327C">
        <w:t xml:space="preserve">that are in </w:t>
      </w:r>
      <w:r w:rsidR="00185616">
        <w:t>principle unrestricted. Nozick had argued that any</w:t>
      </w:r>
      <w:r w:rsidR="0012327C">
        <w:t xml:space="preserve"> attempt to redistribute worldly resources in effect conscripts one person, willingly or not, to work for another.</w:t>
      </w:r>
    </w:p>
    <w:p w:rsidR="0024438D" w:rsidRDefault="00902C19" w:rsidP="009F7F5E">
      <w:pPr>
        <w:spacing w:before="100" w:beforeAutospacing="1" w:after="100" w:afterAutospacing="1" w:line="480" w:lineRule="auto"/>
      </w:pPr>
      <w:r>
        <w:t xml:space="preserve">Cohen </w:t>
      </w:r>
      <w:r w:rsidR="00EE7B1B">
        <w:t>notes that those who are</w:t>
      </w:r>
      <w:r w:rsidR="0024438D">
        <w:t xml:space="preserve"> in favour of redistribution have the option merely to deny self-ownership, and assume that we have non-contractual dutie</w:t>
      </w:r>
      <w:r>
        <w:t>s of non-interference. Yet he</w:t>
      </w:r>
      <w:r w:rsidR="0024438D">
        <w:t xml:space="preserve"> argues that a stronger defence is to accept, for the purposes of argument, the thesis</w:t>
      </w:r>
      <w:r>
        <w:t xml:space="preserve"> of self-ownership</w:t>
      </w:r>
      <w:r w:rsidR="0024438D">
        <w:t xml:space="preserve">, and show that the Nozickian conclusion does not follow. </w:t>
      </w:r>
      <w:r w:rsidR="0011686E">
        <w:t>In a now-classic discussion of Nozick’s account of justice in initial acquisition</w:t>
      </w:r>
      <w:r w:rsidR="000D3AC8">
        <w:t>, Cohen</w:t>
      </w:r>
      <w:r w:rsidR="0011686E">
        <w:t xml:space="preserve"> points out that it is essential to Nozick’s argument that the external world is, initially, unowned, and therefore available for init</w:t>
      </w:r>
      <w:r w:rsidR="00352361">
        <w:t xml:space="preserve">ial acquisition. However, </w:t>
      </w:r>
      <w:r w:rsidR="0011686E">
        <w:t xml:space="preserve"> Nozick does not show that the world is not joi</w:t>
      </w:r>
      <w:r w:rsidR="00352361">
        <w:t>ntly owned</w:t>
      </w:r>
      <w:r w:rsidR="000D3AC8">
        <w:t xml:space="preserve"> by all human beings. If that were</w:t>
      </w:r>
      <w:r w:rsidR="00352361">
        <w:t xml:space="preserve"> the </w:t>
      </w:r>
      <w:r w:rsidR="0011686E">
        <w:t xml:space="preserve">case the conditions for appropriation would be much more strict, and would </w:t>
      </w:r>
      <w:r w:rsidR="00352361">
        <w:t>not</w:t>
      </w:r>
      <w:r w:rsidR="0011686E">
        <w:t xml:space="preserve"> yield the type of property </w:t>
      </w:r>
      <w:r w:rsidR="007A57A8">
        <w:t>rights</w:t>
      </w:r>
      <w:r w:rsidR="0011686E">
        <w:t xml:space="preserve"> favoured by libertarians. Hence, at the least, Nozick has not shown that radically unequal distribution </w:t>
      </w:r>
      <w:r w:rsidR="007A57A8">
        <w:t>can follow</w:t>
      </w:r>
      <w:r w:rsidR="0011686E">
        <w:t xml:space="preserve"> from self-ownership</w:t>
      </w:r>
      <w:r w:rsidR="00352361">
        <w:t>. Furthermore, even if the w</w:t>
      </w:r>
      <w:r>
        <w:t>orld is not jointly owned, Cohen</w:t>
      </w:r>
      <w:r w:rsidR="00352361">
        <w:t xml:space="preserve"> argues that Nozick’s defence of </w:t>
      </w:r>
      <w:r w:rsidR="002C2D4F">
        <w:t>initial</w:t>
      </w:r>
      <w:r w:rsidR="00352361">
        <w:t xml:space="preserve"> appropriation –  roughly, an appropriation is acceptable as long as it makes no one worse off -</w:t>
      </w:r>
      <w:r w:rsidR="0011686E">
        <w:t xml:space="preserve"> </w:t>
      </w:r>
      <w:r w:rsidR="009B21CA">
        <w:t>contains</w:t>
      </w:r>
      <w:r w:rsidR="00F32DBA">
        <w:t xml:space="preserve"> a</w:t>
      </w:r>
      <w:r w:rsidR="00352361">
        <w:t xml:space="preserve"> </w:t>
      </w:r>
      <w:r w:rsidR="000D3AC8">
        <w:t xml:space="preserve">strong </w:t>
      </w:r>
      <w:r w:rsidR="00352361">
        <w:t>element of paternalism that Nozick would reject in other circumstances</w:t>
      </w:r>
      <w:r>
        <w:t>.</w:t>
      </w:r>
      <w:r>
        <w:rPr>
          <w:rStyle w:val="FootnoteReference"/>
        </w:rPr>
        <w:footnoteReference w:id="27"/>
      </w:r>
      <w:r w:rsidR="00352361">
        <w:t xml:space="preserve"> </w:t>
      </w:r>
    </w:p>
    <w:p w:rsidR="0048355A" w:rsidRDefault="0024438D" w:rsidP="009F7F5E">
      <w:pPr>
        <w:spacing w:before="100" w:beforeAutospacing="1" w:after="100" w:afterAutospacing="1" w:line="480" w:lineRule="auto"/>
      </w:pPr>
      <w:r>
        <w:t xml:space="preserve">As his work on this topic </w:t>
      </w:r>
      <w:r w:rsidR="003C6DDF">
        <w:t xml:space="preserve">developed </w:t>
      </w:r>
      <w:r w:rsidR="000D3AC8">
        <w:t xml:space="preserve">Cohen </w:t>
      </w:r>
      <w:r>
        <w:t xml:space="preserve">seemed close to endorsing the thesis of self-ownership, especially, as we noted above, because he saw it as very similar to the views that underlie the Marxist opposition to exploitation. Yet </w:t>
      </w:r>
      <w:r w:rsidR="009B21CA">
        <w:t xml:space="preserve">he came to believe that self-ownership and </w:t>
      </w:r>
      <w:r w:rsidR="002132CA">
        <w:t>an attractive</w:t>
      </w:r>
      <w:r w:rsidR="00902C19">
        <w:t xml:space="preserve"> form of</w:t>
      </w:r>
      <w:r w:rsidR="002132CA">
        <w:t xml:space="preserve"> </w:t>
      </w:r>
      <w:r w:rsidR="009B21CA">
        <w:t>egalitarianism were in conflict. In ‘Are Freedom and Equality Compatible?</w:t>
      </w:r>
      <w:r w:rsidR="00902C19">
        <w:t xml:space="preserve">’ he argues that assuming </w:t>
      </w:r>
      <w:r w:rsidR="001D297B">
        <w:t>that egalitarianism</w:t>
      </w:r>
      <w:r w:rsidR="00902C19">
        <w:t xml:space="preserve"> should be </w:t>
      </w:r>
      <w:r w:rsidR="002132CA">
        <w:t xml:space="preserve">characterized by the thesis that the </w:t>
      </w:r>
      <w:r w:rsidR="009B21CA">
        <w:t xml:space="preserve">world is </w:t>
      </w:r>
      <w:r w:rsidR="009172D9">
        <w:t xml:space="preserve">jointly </w:t>
      </w:r>
      <w:r w:rsidR="009B21CA">
        <w:t xml:space="preserve">owned </w:t>
      </w:r>
      <w:r w:rsidR="00902C19">
        <w:t>by everyone i</w:t>
      </w:r>
      <w:r w:rsidR="0048355A">
        <w:t>s far too restrictive</w:t>
      </w:r>
      <w:r w:rsidR="00902C19">
        <w:t>. I</w:t>
      </w:r>
      <w:r w:rsidR="0048355A">
        <w:t>t would require</w:t>
      </w:r>
      <w:r w:rsidR="009B21CA">
        <w:t xml:space="preserve"> </w:t>
      </w:r>
      <w:r w:rsidR="0048355A">
        <w:t>everyone else’s consent before anyon</w:t>
      </w:r>
      <w:r w:rsidR="002132CA">
        <w:t xml:space="preserve">e could use anything at all. This, </w:t>
      </w:r>
      <w:r w:rsidR="00263F25">
        <w:t>Cohen</w:t>
      </w:r>
      <w:r w:rsidR="002132CA">
        <w:t xml:space="preserve"> argues,</w:t>
      </w:r>
      <w:r w:rsidR="0048355A">
        <w:t xml:space="preserve"> thereby render</w:t>
      </w:r>
      <w:r w:rsidR="00263F25">
        <w:t>s</w:t>
      </w:r>
      <w:r w:rsidR="0048355A">
        <w:t xml:space="preserve"> self-ownership ‘merely formal’ (a criticism that also applies to libertarianism</w:t>
      </w:r>
      <w:r w:rsidR="002132CA">
        <w:t>,</w:t>
      </w:r>
      <w:r w:rsidR="0048355A">
        <w:t xml:space="preserve"> for the self-ownership of those without property </w:t>
      </w:r>
      <w:r w:rsidR="002132CA">
        <w:t xml:space="preserve">is also </w:t>
      </w:r>
      <w:r w:rsidR="0048355A">
        <w:t>merely formal</w:t>
      </w:r>
      <w:r w:rsidR="002132CA">
        <w:t xml:space="preserve"> and they would rely entirely on the co-operation of others for survival</w:t>
      </w:r>
      <w:r w:rsidR="0048355A">
        <w:t xml:space="preserve">.) </w:t>
      </w:r>
      <w:r w:rsidR="002A5393">
        <w:t xml:space="preserve"> He continues with the argument that the </w:t>
      </w:r>
      <w:r w:rsidR="002132CA">
        <w:t xml:space="preserve">egalitarian </w:t>
      </w:r>
      <w:r w:rsidR="0048355A">
        <w:t xml:space="preserve">alternative of parceling the world into </w:t>
      </w:r>
      <w:r w:rsidR="002A5393">
        <w:t xml:space="preserve">equal </w:t>
      </w:r>
      <w:r w:rsidR="0048355A">
        <w:t xml:space="preserve">individual shares </w:t>
      </w:r>
      <w:r w:rsidR="002A5393">
        <w:t xml:space="preserve">fares no better, at least from an egalitarian point of view, as it will allow outcomes to be strongly determined by </w:t>
      </w:r>
      <w:r w:rsidR="001D297B">
        <w:t xml:space="preserve">the exercise of </w:t>
      </w:r>
      <w:r w:rsidR="002A5393">
        <w:t>differential talent, and fails to guarantee support for those who cannot produce for themselves.</w:t>
      </w:r>
      <w:r w:rsidR="00902C19">
        <w:rPr>
          <w:rStyle w:val="FootnoteReference"/>
        </w:rPr>
        <w:footnoteReference w:id="28"/>
      </w:r>
    </w:p>
    <w:p w:rsidR="002132CA" w:rsidRDefault="002132CA" w:rsidP="009F7F5E">
      <w:pPr>
        <w:spacing w:before="100" w:beforeAutospacing="1" w:after="100" w:afterAutospacing="1" w:line="480" w:lineRule="auto"/>
      </w:pPr>
    </w:p>
    <w:p w:rsidR="00737A93" w:rsidRDefault="002132CA" w:rsidP="009F7F5E">
      <w:pPr>
        <w:spacing w:before="100" w:beforeAutospacing="1" w:after="100" w:afterAutospacing="1" w:line="480" w:lineRule="auto"/>
      </w:pPr>
      <w:r>
        <w:t>E</w:t>
      </w:r>
      <w:r w:rsidR="0024438D">
        <w:t>ventually</w:t>
      </w:r>
      <w:r>
        <w:t>, therefore,</w:t>
      </w:r>
      <w:r w:rsidR="0024438D">
        <w:t xml:space="preserve"> he found the principle </w:t>
      </w:r>
      <w:r>
        <w:t xml:space="preserve">of self-ownership </w:t>
      </w:r>
      <w:r w:rsidR="0024438D">
        <w:t>unhelpful, and in a pair of papers p</w:t>
      </w:r>
      <w:r w:rsidR="000D3AC8">
        <w:t>ublished for the first time in</w:t>
      </w:r>
      <w:r w:rsidR="000D3AC8" w:rsidRPr="000D3AC8">
        <w:rPr>
          <w:i/>
        </w:rPr>
        <w:t xml:space="preserve"> Self-Ownership, Freedom and Equality</w:t>
      </w:r>
      <w:r w:rsidR="0024438D">
        <w:t xml:space="preserve"> he came to accept the position that many of his liberal egalitarian friends and colleagues had urged upon him</w:t>
      </w:r>
      <w:r w:rsidR="000D3AC8">
        <w:t xml:space="preserve"> for years</w:t>
      </w:r>
      <w:r w:rsidR="0024438D">
        <w:t>: the rejection of the principle</w:t>
      </w:r>
      <w:r>
        <w:t xml:space="preserve">. </w:t>
      </w:r>
      <w:r w:rsidR="00147A01">
        <w:t xml:space="preserve"> While he defends the cohe</w:t>
      </w:r>
      <w:r w:rsidR="000D3AC8">
        <w:t>rence of the idea of self-ownership</w:t>
      </w:r>
      <w:r w:rsidR="00147A01">
        <w:t>, he argues against</w:t>
      </w:r>
      <w:r w:rsidR="00040967">
        <w:t xml:space="preserve"> its</w:t>
      </w:r>
      <w:r w:rsidR="00147A01">
        <w:t xml:space="preserve"> adopti</w:t>
      </w:r>
      <w:r w:rsidR="00040967">
        <w:t>on</w:t>
      </w:r>
      <w:r w:rsidR="00147A01">
        <w:t xml:space="preserve">. </w:t>
      </w:r>
      <w:r>
        <w:t>His position is not so much to find a direct argument agai</w:t>
      </w:r>
      <w:r w:rsidR="00147A01">
        <w:t>nst the thesis</w:t>
      </w:r>
      <w:r>
        <w:t>, but rather to demonstrate that the motivations that lead in the direction of self-ownership do not take one all the way. That is to say, one can oppose slavery, advance autonomy and object to treating a person as a means without adopting self-ownership.</w:t>
      </w:r>
      <w:r w:rsidR="00902C19">
        <w:rPr>
          <w:rStyle w:val="FootnoteReference"/>
        </w:rPr>
        <w:footnoteReference w:id="29"/>
      </w:r>
    </w:p>
    <w:p w:rsidR="00EE7B1B" w:rsidRDefault="00737A93" w:rsidP="009F7F5E">
      <w:pPr>
        <w:spacing w:before="100" w:beforeAutospacing="1" w:after="100" w:afterAutospacing="1" w:line="480" w:lineRule="auto"/>
      </w:pPr>
      <w:r w:rsidRPr="000D3AC8">
        <w:rPr>
          <w:i/>
        </w:rPr>
        <w:t>Self-Ownership, Freedom and Equality</w:t>
      </w:r>
      <w:r>
        <w:t xml:space="preserve"> largely pursues a single theme: th</w:t>
      </w:r>
      <w:r w:rsidR="00D11079">
        <w:t xml:space="preserve">e thesis of self-ownership, and </w:t>
      </w:r>
      <w:r w:rsidR="000D3AC8">
        <w:t>it is something of an anti-climax</w:t>
      </w:r>
      <w:r w:rsidR="00D11079">
        <w:t xml:space="preserve"> that the work ends on a largely negative note. Yet this should not detract from the point that the essays together add up to the </w:t>
      </w:r>
      <w:r w:rsidR="00263F25">
        <w:t xml:space="preserve">most powerful and influential </w:t>
      </w:r>
      <w:r w:rsidR="00D11079">
        <w:t xml:space="preserve">detailed rebuttal of Nozick’s libertarianism that has been produced, </w:t>
      </w:r>
      <w:r w:rsidR="00747ADA">
        <w:t xml:space="preserve"> one that</w:t>
      </w:r>
      <w:r w:rsidR="00D11079">
        <w:t xml:space="preserve"> is unlikely to be surpassed. The essays, executed with supreme rigour, are full of insight and interest even when their point is to warn against a wrong turning, rathe</w:t>
      </w:r>
      <w:r w:rsidR="00263F25">
        <w:t>r than build a new construction</w:t>
      </w:r>
      <w:r w:rsidR="00D11079">
        <w:t>.</w:t>
      </w:r>
    </w:p>
    <w:p w:rsidR="00BE03F8" w:rsidRDefault="00BE03F8" w:rsidP="009F7F5E">
      <w:pPr>
        <w:spacing w:before="100" w:beforeAutospacing="1" w:after="100" w:afterAutospacing="1" w:line="480" w:lineRule="auto"/>
      </w:pPr>
    </w:p>
    <w:p w:rsidR="0024438D" w:rsidRPr="00F42C0A" w:rsidRDefault="00902C19" w:rsidP="00F42C0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rPr>
          <w:rFonts w:ascii="Helvetica" w:hAnsi="Helvetica" w:cs="Helvetica"/>
        </w:rPr>
      </w:pPr>
      <w:r>
        <w:t>Modestly Cohen</w:t>
      </w:r>
      <w:r w:rsidR="00CE5F20">
        <w:t xml:space="preserve"> </w:t>
      </w:r>
      <w:r w:rsidR="00FB1F11" w:rsidRPr="00FE6008">
        <w:t>characteri</w:t>
      </w:r>
      <w:r w:rsidR="00FB1F11">
        <w:t>s</w:t>
      </w:r>
      <w:r w:rsidR="00FB1F11" w:rsidRPr="00FE6008">
        <w:t xml:space="preserve">ed himself as </w:t>
      </w:r>
      <w:r>
        <w:t xml:space="preserve">essentially </w:t>
      </w:r>
      <w:r w:rsidR="00FB1F11" w:rsidRPr="00FE6008">
        <w:t xml:space="preserve">a </w:t>
      </w:r>
      <w:r>
        <w:t xml:space="preserve">reactive </w:t>
      </w:r>
      <w:r w:rsidR="00FB1F11" w:rsidRPr="00FE6008">
        <w:t>philosopher</w:t>
      </w:r>
      <w:r>
        <w:t xml:space="preserve">. This, </w:t>
      </w:r>
      <w:r w:rsidR="001D297B">
        <w:t xml:space="preserve">as a more general conception of philosophy, </w:t>
      </w:r>
      <w:r>
        <w:t xml:space="preserve">comes out clearly in a remarkable paper ‘How to Do Political Philosophy’, written for use in teaching a graduate class in Oxford, where it is clear that </w:t>
      </w:r>
      <w:r w:rsidR="000D3AC8">
        <w:t xml:space="preserve">Cohen </w:t>
      </w:r>
      <w:r>
        <w:t>conceives of philosophy</w:t>
      </w:r>
      <w:r w:rsidR="001D297B">
        <w:t xml:space="preserve"> </w:t>
      </w:r>
      <w:r>
        <w:t>as an activity that takes place against an opponent.</w:t>
      </w:r>
      <w:r>
        <w:rPr>
          <w:rStyle w:val="FootnoteReference"/>
        </w:rPr>
        <w:footnoteReference w:id="30"/>
      </w:r>
      <w:r>
        <w:t xml:space="preserve"> I</w:t>
      </w:r>
      <w:r w:rsidR="00CE5F20">
        <w:t xml:space="preserve">n the first phase of his career Marx was the clear inspiration, </w:t>
      </w:r>
      <w:r w:rsidR="000D3AC8">
        <w:t>and</w:t>
      </w:r>
      <w:r>
        <w:t xml:space="preserve"> the opponent</w:t>
      </w:r>
      <w:r w:rsidR="000D3AC8">
        <w:t>s were analytic critics of Marx such as Plamenatz, and obscuran</w:t>
      </w:r>
      <w:r w:rsidR="00FA52C8">
        <w:t>tist defenders, such as Althuss</w:t>
      </w:r>
      <w:r w:rsidR="000D3AC8">
        <w:t>er.</w:t>
      </w:r>
      <w:r>
        <w:t xml:space="preserve"> </w:t>
      </w:r>
      <w:r w:rsidR="00FA52C8">
        <w:t>T</w:t>
      </w:r>
      <w:r w:rsidR="00CE5F20">
        <w:t xml:space="preserve">he second phase was dominated by the need to answer Nozick’s libertarianism. In the third phase </w:t>
      </w:r>
      <w:r>
        <w:t xml:space="preserve">Ronald </w:t>
      </w:r>
      <w:r w:rsidR="00CE5F20">
        <w:t>Dworkin was the focus of his reflections, and in particular Dworkin’s two seminal articles on equality of welfare and equality of resources.</w:t>
      </w:r>
      <w:r>
        <w:rPr>
          <w:rStyle w:val="FootnoteReference"/>
        </w:rPr>
        <w:footnoteReference w:id="31"/>
      </w:r>
      <w:r w:rsidR="00F42C0A">
        <w:t xml:space="preserve"> Cohen </w:t>
      </w:r>
      <w:r w:rsidR="00CE5F20">
        <w:t>found himself very sympathetic to</w:t>
      </w:r>
      <w:r w:rsidR="007C5E12">
        <w:t xml:space="preserve"> what later came to b</w:t>
      </w:r>
      <w:r w:rsidR="0024438D">
        <w:t>e ca</w:t>
      </w:r>
      <w:r>
        <w:t>lled ‘luck egalitarianism’. Dwor</w:t>
      </w:r>
      <w:r w:rsidR="00F42C0A">
        <w:t>kin’s achievement, said Cohen,</w:t>
      </w:r>
      <w:r w:rsidR="0024438D">
        <w:t xml:space="preserve"> in a much quoted passage</w:t>
      </w:r>
      <w:r w:rsidR="00FA52C8">
        <w:t>, was to perform: ‘</w:t>
      </w:r>
      <w:r w:rsidR="00F42C0A" w:rsidRPr="00F42C0A">
        <w:rPr>
          <w:rFonts w:cs="Times"/>
          <w:szCs w:val="22"/>
        </w:rPr>
        <w:t xml:space="preserve">for egalitarianism </w:t>
      </w:r>
      <w:r w:rsidR="00F42C0A">
        <w:rPr>
          <w:rFonts w:cs="Times"/>
          <w:szCs w:val="22"/>
        </w:rPr>
        <w:t>the considerable service of in</w:t>
      </w:r>
      <w:r w:rsidR="00F42C0A" w:rsidRPr="00F42C0A">
        <w:rPr>
          <w:rFonts w:cs="Times"/>
          <w:szCs w:val="22"/>
        </w:rPr>
        <w:t>corporating within it the most powerful i</w:t>
      </w:r>
      <w:r w:rsidR="00F42C0A">
        <w:rPr>
          <w:rFonts w:cs="Times"/>
          <w:szCs w:val="22"/>
        </w:rPr>
        <w:t>dea in the arsenal of the anti-</w:t>
      </w:r>
      <w:r w:rsidR="00F42C0A" w:rsidRPr="00F42C0A">
        <w:rPr>
          <w:rFonts w:cs="Times"/>
          <w:szCs w:val="22"/>
        </w:rPr>
        <w:t>egalitarian right: the idea of choice and responsibility</w:t>
      </w:r>
      <w:r w:rsidR="00F42C0A">
        <w:rPr>
          <w:rFonts w:cs="Times"/>
          <w:szCs w:val="22"/>
        </w:rPr>
        <w:t>.</w:t>
      </w:r>
      <w:r w:rsidR="00FA52C8">
        <w:rPr>
          <w:rFonts w:cs="Times"/>
          <w:szCs w:val="22"/>
        </w:rPr>
        <w:t>’</w:t>
      </w:r>
      <w:r w:rsidR="00F42C0A">
        <w:rPr>
          <w:rStyle w:val="FootnoteReference"/>
          <w:rFonts w:cs="Times"/>
          <w:szCs w:val="22"/>
        </w:rPr>
        <w:footnoteReference w:id="32"/>
      </w:r>
      <w:r w:rsidR="00C4554A">
        <w:rPr>
          <w:rFonts w:cs="Times"/>
          <w:szCs w:val="22"/>
        </w:rPr>
        <w:t xml:space="preserve"> Indeed, there is a </w:t>
      </w:r>
      <w:r w:rsidR="001D297B">
        <w:rPr>
          <w:rFonts w:cs="Times"/>
          <w:szCs w:val="22"/>
        </w:rPr>
        <w:t>strong</w:t>
      </w:r>
      <w:r w:rsidR="00C4554A">
        <w:rPr>
          <w:rFonts w:cs="Times"/>
          <w:szCs w:val="22"/>
        </w:rPr>
        <w:t xml:space="preserve"> residue of Cohen’s earlier reflections on Nozick in this comment.</w:t>
      </w:r>
    </w:p>
    <w:p w:rsidR="00D11079" w:rsidRDefault="00D11079" w:rsidP="009F7F5E">
      <w:pPr>
        <w:spacing w:before="100" w:beforeAutospacing="1" w:after="100" w:afterAutospacing="1" w:line="480" w:lineRule="auto"/>
      </w:pPr>
      <w:r>
        <w:t xml:space="preserve">The leading idea of luck egalitarianism </w:t>
      </w:r>
      <w:r w:rsidR="007C5E12">
        <w:t xml:space="preserve">is </w:t>
      </w:r>
      <w:r w:rsidR="00FA52C8">
        <w:t xml:space="preserve">to make a distinction between those aspects of one’s fate for which one is responsible, and those aspects for which one is not. Dworkin makes a distinction between ‘brute luck’ and ‘option luck’  and on this view the project is </w:t>
      </w:r>
      <w:r w:rsidR="007C5E12">
        <w:t xml:space="preserve">to </w:t>
      </w:r>
      <w:r w:rsidR="00C4554A">
        <w:t xml:space="preserve">set out </w:t>
      </w:r>
      <w:r w:rsidR="00263F25">
        <w:t>principles</w:t>
      </w:r>
      <w:r w:rsidR="00C4554A">
        <w:t xml:space="preserve"> that </w:t>
      </w:r>
      <w:r w:rsidR="007C5E12">
        <w:t xml:space="preserve">allow people to reap the benefits, but also suffer the burdens, of </w:t>
      </w:r>
      <w:r w:rsidR="00FA52C8">
        <w:t>good and bad option luck</w:t>
      </w:r>
      <w:r w:rsidR="007C5E12">
        <w:t xml:space="preserve">, but at the same time to insulate people from the effects of </w:t>
      </w:r>
      <w:r w:rsidR="00FA52C8">
        <w:t xml:space="preserve">good and </w:t>
      </w:r>
      <w:r w:rsidR="007C5E12">
        <w:t xml:space="preserve">bad </w:t>
      </w:r>
      <w:r w:rsidR="00FA52C8">
        <w:t>brute luck</w:t>
      </w:r>
      <w:r w:rsidR="007C5E12">
        <w:t>. There are, at least, two central questions that must be answered in order to settle how this doctrine is to be formul</w:t>
      </w:r>
      <w:r w:rsidR="00FA52C8">
        <w:t>ated. One is the question of how exactly to define the</w:t>
      </w:r>
      <w:r w:rsidR="007C5E12">
        <w:t xml:space="preserve"> ‘cut’ between those factors for which a person is to be held responsible, and those they are not. A second is the ‘currency’ of justice: should </w:t>
      </w:r>
      <w:r w:rsidR="00FA52C8">
        <w:t>equality be defined in terms of</w:t>
      </w:r>
      <w:r w:rsidR="007C5E12">
        <w:t xml:space="preserve"> welfare, resources, capabi</w:t>
      </w:r>
      <w:r w:rsidR="00FA52C8">
        <w:t>lities, or something else again?</w:t>
      </w:r>
      <w:r w:rsidR="007C5E12">
        <w:t xml:space="preserve"> Dworkin </w:t>
      </w:r>
      <w:r w:rsidR="00C4554A">
        <w:t xml:space="preserve">is very clear on the second question: equality of resources is the </w:t>
      </w:r>
      <w:r w:rsidR="00A676DC">
        <w:t>right</w:t>
      </w:r>
      <w:r w:rsidR="00C4554A">
        <w:t xml:space="preserve"> currency. His response to the first question – how exactly to draw the cut – was less easy to discern from his writings. </w:t>
      </w:r>
    </w:p>
    <w:p w:rsidR="00272046" w:rsidRDefault="00C4554A" w:rsidP="009F7F5E">
      <w:pPr>
        <w:spacing w:before="100" w:beforeAutospacing="1" w:after="100" w:afterAutospacing="1" w:line="480" w:lineRule="auto"/>
      </w:pPr>
      <w:r>
        <w:t>Cohen’s</w:t>
      </w:r>
      <w:r w:rsidR="00D11079">
        <w:t xml:space="preserve"> contribution to this d</w:t>
      </w:r>
      <w:r w:rsidR="00747536">
        <w:t xml:space="preserve">ebate </w:t>
      </w:r>
      <w:r>
        <w:t xml:space="preserve">was </w:t>
      </w:r>
      <w:r w:rsidR="00263F25">
        <w:t>initially</w:t>
      </w:r>
      <w:r>
        <w:t xml:space="preserve"> set out in</w:t>
      </w:r>
      <w:r w:rsidR="00D11079">
        <w:t xml:space="preserve"> two papers</w:t>
      </w:r>
      <w:r w:rsidR="00282926">
        <w:t>,</w:t>
      </w:r>
      <w:r w:rsidR="00D11079">
        <w:t xml:space="preserve"> ‘On The Currency of Egalitarian Justice</w:t>
      </w:r>
      <w:r w:rsidR="00282926">
        <w:t xml:space="preserve">’, mentioned above, </w:t>
      </w:r>
      <w:r w:rsidR="00D11079">
        <w:t>and ‘Equality of What? On  Welfare, Goods and Capabilities’</w:t>
      </w:r>
      <w:r w:rsidR="00282926">
        <w:t>.</w:t>
      </w:r>
      <w:r w:rsidR="00282926" w:rsidRPr="00282926">
        <w:rPr>
          <w:rStyle w:val="FootnoteReference"/>
        </w:rPr>
        <w:t xml:space="preserve"> </w:t>
      </w:r>
      <w:r w:rsidR="00282926">
        <w:rPr>
          <w:rStyle w:val="FootnoteReference"/>
        </w:rPr>
        <w:footnoteReference w:id="33"/>
      </w:r>
      <w:r w:rsidR="00282926">
        <w:t xml:space="preserve">  Cohen broadly accepts Arneson’s </w:t>
      </w:r>
      <w:r w:rsidR="00272046">
        <w:t>characterisation</w:t>
      </w:r>
      <w:r w:rsidR="00282926">
        <w:t xml:space="preserve"> of Dworkin’s </w:t>
      </w:r>
      <w:r w:rsidR="00272046">
        <w:t>theory</w:t>
      </w:r>
      <w:r w:rsidR="00282926">
        <w:t xml:space="preserve"> as </w:t>
      </w:r>
      <w:r w:rsidR="00272046">
        <w:t>one of</w:t>
      </w:r>
      <w:r w:rsidR="00282926">
        <w:t xml:space="preserve"> equality of opportunity for resources.</w:t>
      </w:r>
      <w:r w:rsidR="00282926">
        <w:rPr>
          <w:rStyle w:val="FootnoteReference"/>
        </w:rPr>
        <w:footnoteReference w:id="34"/>
      </w:r>
      <w:r w:rsidR="00283F5E">
        <w:t xml:space="preserve">  However, in opposition to Dworkin and Arneson, Cohen’s preferred position is one of ‘equality of access to advantage’, of which the more important </w:t>
      </w:r>
      <w:r w:rsidR="005E48E2">
        <w:t>modification</w:t>
      </w:r>
      <w:r w:rsidR="00283F5E">
        <w:t xml:space="preserve"> </w:t>
      </w:r>
      <w:r w:rsidR="007A57A8">
        <w:t>is ‘advantage’ instead of</w:t>
      </w:r>
      <w:r w:rsidR="00272046">
        <w:t xml:space="preserve"> ‘resources’ or ‘welfare’. Cohen’s point is that an egalitarian must be sensitive to certain types of resource deficiency, how</w:t>
      </w:r>
      <w:r w:rsidR="00FA52C8">
        <w:t>ever they impact on welfare, as well as</w:t>
      </w:r>
      <w:r w:rsidR="00272046">
        <w:t xml:space="preserve"> certain types of welfare deficiency, however they impact on resources. Accordingly he defines a new notion – advantage – which straddles resources and welfare (although he does not attempt to </w:t>
      </w:r>
      <w:r w:rsidR="00FA52C8">
        <w:t>specify how the two elements are to</w:t>
      </w:r>
      <w:r w:rsidR="00272046">
        <w:t xml:space="preserve"> be combined).</w:t>
      </w:r>
    </w:p>
    <w:p w:rsidR="00272046" w:rsidRDefault="00FA52C8" w:rsidP="009F7F5E">
      <w:pPr>
        <w:spacing w:before="100" w:beforeAutospacing="1" w:after="100" w:afterAutospacing="1" w:line="480" w:lineRule="auto"/>
      </w:pPr>
      <w:r>
        <w:t>One primary</w:t>
      </w:r>
      <w:r w:rsidR="00272046">
        <w:t xml:space="preserve"> issue between Cohen and Dworkin comes down to the question of whether low welfare should engage egalitarian concerns. Dworkin admits the immediate appeal of such a view, but marshals a range of considerations to put it into doubt. Perhaps surprisingly, </w:t>
      </w:r>
      <w:r w:rsidR="007C5E12">
        <w:t>the focal example for deciding between different cases is that of ‘expensive tastes’. If a person cannot enjoy those things others typically take pleasure in – beer and hen’s eggs, say – but to achieve comparable levels of enjoyment, they must consume expensi</w:t>
      </w:r>
      <w:r w:rsidR="00272046">
        <w:t xml:space="preserve">ve champagne and plover’s </w:t>
      </w:r>
      <w:r w:rsidR="00F1285C">
        <w:t xml:space="preserve">eggs, </w:t>
      </w:r>
      <w:r w:rsidR="007C5E12">
        <w:t>should they receive a social subsidy so that they can achieve the same leve</w:t>
      </w:r>
      <w:r>
        <w:t>l of enjoyment as the rest of the population</w:t>
      </w:r>
      <w:r w:rsidR="007C5E12">
        <w:t xml:space="preserve">? </w:t>
      </w:r>
    </w:p>
    <w:p w:rsidR="00632904" w:rsidRDefault="00272046" w:rsidP="009F7F5E">
      <w:pPr>
        <w:spacing w:before="100" w:beforeAutospacing="1" w:after="100" w:afterAutospacing="1" w:line="480" w:lineRule="auto"/>
      </w:pPr>
      <w:r>
        <w:t xml:space="preserve">Dworkin’s  position is that one should not receive a subsidy for expensive tastes, unless </w:t>
      </w:r>
      <w:r w:rsidR="00DF3D4E">
        <w:t>they are a form of compulsion or</w:t>
      </w:r>
      <w:r>
        <w:t xml:space="preserve"> craving, akin to mental illness. Cohen, by contrast, argues that there is a difference between those people who find themselves with expensive tastes, </w:t>
      </w:r>
      <w:r w:rsidR="00FA52C8">
        <w:t xml:space="preserve">by bad brute luck, </w:t>
      </w:r>
      <w:r>
        <w:t>who should be subsidized, and those who deliberately cultivated them, who, in the spirit of luck egalitarianism</w:t>
      </w:r>
      <w:r w:rsidR="00632904">
        <w:t xml:space="preserve">, should be required to bear the consequences of their freely made choice. </w:t>
      </w:r>
      <w:r w:rsidR="00DF3D4E">
        <w:t xml:space="preserve">Dworkin argues that the key factor for deciding whether or not subsidy is due </w:t>
      </w:r>
      <w:r w:rsidR="00FA52C8">
        <w:t>is whether the person identifies</w:t>
      </w:r>
      <w:r w:rsidR="00DF3D4E">
        <w:t xml:space="preserve"> with their tastes. It would be ‘alienating’ to offer people subsidy for aspects of what they regard as their personality. </w:t>
      </w:r>
      <w:r w:rsidR="00F1285C">
        <w:t xml:space="preserve">In reply </w:t>
      </w:r>
      <w:r w:rsidR="00DF3D4E">
        <w:t xml:space="preserve">Cohen makes the important distinction between identifying with the taste, and identifying with its cost. One can fully identify with the taste yet regret that it is expensive. If one has not deliberately cultivated it, then, in Cohen’s view, subsidy is due. </w:t>
      </w:r>
      <w:r w:rsidR="00632904">
        <w:t xml:space="preserve">The debate between Dworkin and Cohen went through several exchanges, both making strong and plausible arguments and neither side prepared to </w:t>
      </w:r>
      <w:r w:rsidR="00263F25">
        <w:t>concede ground</w:t>
      </w:r>
      <w:r w:rsidR="00632904">
        <w:t>.</w:t>
      </w:r>
      <w:r w:rsidR="00DF3D4E">
        <w:rPr>
          <w:rStyle w:val="FootnoteReference"/>
        </w:rPr>
        <w:footnoteReference w:id="35"/>
      </w:r>
    </w:p>
    <w:p w:rsidR="00632904" w:rsidRDefault="00632904" w:rsidP="009F7F5E">
      <w:pPr>
        <w:spacing w:before="100" w:beforeAutospacing="1" w:after="100" w:afterAutospacing="1" w:line="480" w:lineRule="auto"/>
      </w:pPr>
    </w:p>
    <w:p w:rsidR="00272046" w:rsidRDefault="00632904" w:rsidP="009F7F5E">
      <w:pPr>
        <w:spacing w:before="100" w:beforeAutospacing="1" w:after="100" w:afterAutospacing="1" w:line="480" w:lineRule="auto"/>
      </w:pPr>
      <w:r>
        <w:t xml:space="preserve">When luck egalitarianism – in all its versions </w:t>
      </w:r>
      <w:r w:rsidR="001D297B">
        <w:t>–</w:t>
      </w:r>
      <w:r>
        <w:t xml:space="preserve">  came under attack from Elizabeth Anderson</w:t>
      </w:r>
      <w:r>
        <w:rPr>
          <w:rStyle w:val="FootnoteReference"/>
        </w:rPr>
        <w:footnoteReference w:id="36"/>
      </w:r>
      <w:r>
        <w:t xml:space="preserve"> and others for its apparent inhumanity, such as its ‘abandonment of the irresponsible’ (those who have freely chosen paths with disastrous consequences</w:t>
      </w:r>
      <w:r w:rsidR="00886F6E">
        <w:t xml:space="preserve"> </w:t>
      </w:r>
      <w:r w:rsidR="00D66038">
        <w:t xml:space="preserve">and </w:t>
      </w:r>
      <w:r w:rsidR="00886F6E">
        <w:t xml:space="preserve">would </w:t>
      </w:r>
      <w:r w:rsidR="00D66038">
        <w:t xml:space="preserve">therefore </w:t>
      </w:r>
      <w:r w:rsidR="00886F6E">
        <w:t>have no claim for help</w:t>
      </w:r>
      <w:r>
        <w:t>) Cohen took pains to point out that his project was only to define and argue for a theory of equality</w:t>
      </w:r>
      <w:r w:rsidR="00563AE0">
        <w:t xml:space="preserve"> as an account of distributive justice</w:t>
      </w:r>
      <w:r>
        <w:t xml:space="preserve">, and not to argue that </w:t>
      </w:r>
      <w:r w:rsidR="00263F25">
        <w:t xml:space="preserve">any society should adopt an </w:t>
      </w:r>
      <w:r>
        <w:t>unmodified</w:t>
      </w:r>
      <w:r w:rsidR="00263F25">
        <w:t xml:space="preserve"> principle of equality</w:t>
      </w:r>
      <w:r>
        <w:t>. Rather</w:t>
      </w:r>
      <w:r w:rsidR="00263F25">
        <w:t>,</w:t>
      </w:r>
      <w:r>
        <w:t xml:space="preserve"> he reminded his readers of a point that he had made expli</w:t>
      </w:r>
      <w:r w:rsidR="00F1285C">
        <w:t>cit in his earlier paper. He accepts</w:t>
      </w:r>
      <w:r>
        <w:t xml:space="preserve"> that concerns other than those of egalitarian justice could turn out to be more important in practice.</w:t>
      </w:r>
      <w:r>
        <w:rPr>
          <w:rStyle w:val="FootnoteReference"/>
        </w:rPr>
        <w:footnoteReference w:id="37"/>
      </w:r>
      <w:r>
        <w:t xml:space="preserve"> In making this point he develops an early version of a distinction that, as we will see, became important in the last period of his work: the distinction between theories of justice and what he was to call ‘rules of regulation’.</w:t>
      </w:r>
    </w:p>
    <w:p w:rsidR="00AA6F67" w:rsidRDefault="00886F6E" w:rsidP="009F7F5E">
      <w:pPr>
        <w:spacing w:before="100" w:beforeAutospacing="1" w:after="100" w:afterAutospacing="1" w:line="480" w:lineRule="auto"/>
      </w:pPr>
      <w:r>
        <w:t>Th</w:t>
      </w:r>
      <w:r w:rsidR="00023E69">
        <w:t>e next phase in Cohen’s work</w:t>
      </w:r>
      <w:r>
        <w:t xml:space="preserve"> bega</w:t>
      </w:r>
      <w:r w:rsidR="00747536">
        <w:t xml:space="preserve">n </w:t>
      </w:r>
      <w:r w:rsidR="00F03494">
        <w:t xml:space="preserve">with </w:t>
      </w:r>
      <w:r>
        <w:t xml:space="preserve"> </w:t>
      </w:r>
      <w:r w:rsidR="00F03494">
        <w:t>three papers that</w:t>
      </w:r>
      <w:r w:rsidR="00023E69">
        <w:t xml:space="preserve"> </w:t>
      </w:r>
      <w:r w:rsidR="00263F25">
        <w:t>stand</w:t>
      </w:r>
      <w:r w:rsidR="00023E69">
        <w:t xml:space="preserve"> with </w:t>
      </w:r>
      <w:r w:rsidR="00023E69" w:rsidRPr="00023E69">
        <w:rPr>
          <w:i/>
        </w:rPr>
        <w:t>Karl Marx’s Theory of History</w:t>
      </w:r>
      <w:r w:rsidR="00263F25">
        <w:t xml:space="preserve">, and the critique of Nozick, </w:t>
      </w:r>
      <w:r w:rsidR="00023E69">
        <w:t xml:space="preserve">as </w:t>
      </w:r>
      <w:r w:rsidR="00F03494">
        <w:t xml:space="preserve">the </w:t>
      </w:r>
      <w:r w:rsidR="00023E69">
        <w:t>high point</w:t>
      </w:r>
      <w:r w:rsidR="00263F25">
        <w:t>s</w:t>
      </w:r>
      <w:r w:rsidR="00023E69">
        <w:t xml:space="preserve"> of his career. These are the </w:t>
      </w:r>
      <w:r w:rsidR="00747536">
        <w:t xml:space="preserve">Tanner Lectures </w:t>
      </w:r>
      <w:r w:rsidR="00023E69">
        <w:t xml:space="preserve">of </w:t>
      </w:r>
      <w:r w:rsidR="00747536">
        <w:t>1992</w:t>
      </w:r>
      <w:r w:rsidR="00C43B9A">
        <w:t>,</w:t>
      </w:r>
      <w:r w:rsidR="00200ACA">
        <w:t xml:space="preserve"> ‘Incentives, Inequality and Community’</w:t>
      </w:r>
      <w:r w:rsidR="00023E69">
        <w:t>,</w:t>
      </w:r>
      <w:r w:rsidR="00C43B9A">
        <w:rPr>
          <w:rStyle w:val="FootnoteReference"/>
        </w:rPr>
        <w:footnoteReference w:id="38"/>
      </w:r>
      <w:r w:rsidR="00C43B9A">
        <w:t xml:space="preserve"> </w:t>
      </w:r>
      <w:r w:rsidR="00023E69">
        <w:t>‘</w:t>
      </w:r>
      <w:r w:rsidR="00C43B9A">
        <w:t>The Pareto Argument for Inequality</w:t>
      </w:r>
      <w:r w:rsidR="00023E69">
        <w:t>’</w:t>
      </w:r>
      <w:r w:rsidR="00C43B9A">
        <w:t xml:space="preserve"> </w:t>
      </w:r>
      <w:r w:rsidR="00023E69">
        <w:t>(1995)</w:t>
      </w:r>
      <w:r w:rsidR="00023E69">
        <w:rPr>
          <w:rStyle w:val="FootnoteReference"/>
        </w:rPr>
        <w:footnoteReference w:id="39"/>
      </w:r>
      <w:r w:rsidR="00023E69">
        <w:t xml:space="preserve"> </w:t>
      </w:r>
      <w:r w:rsidR="00C43B9A">
        <w:t xml:space="preserve">and </w:t>
      </w:r>
      <w:r w:rsidR="00023E69">
        <w:t>‘</w:t>
      </w:r>
      <w:r w:rsidR="00C43B9A">
        <w:t>Where the Action Is: On the Site of Distributive Justice</w:t>
      </w:r>
      <w:r w:rsidR="00023E69">
        <w:t xml:space="preserve"> ‘(1997)</w:t>
      </w:r>
      <w:r w:rsidR="00C43B9A">
        <w:t>.</w:t>
      </w:r>
      <w:r w:rsidR="00023E69">
        <w:rPr>
          <w:rStyle w:val="FootnoteReference"/>
        </w:rPr>
        <w:footnoteReference w:id="40"/>
      </w:r>
      <w:r w:rsidR="00C43B9A">
        <w:t xml:space="preserve"> </w:t>
      </w:r>
      <w:r w:rsidR="00F03494">
        <w:t>The last of these papers was also included</w:t>
      </w:r>
      <w:r w:rsidR="00C43B9A">
        <w:t xml:space="preserve"> in Cohen</w:t>
      </w:r>
      <w:r w:rsidR="00F03494">
        <w:t>’s</w:t>
      </w:r>
      <w:r w:rsidR="00C43B9A">
        <w:t xml:space="preserve"> superbly readable and engrossing book </w:t>
      </w:r>
      <w:r w:rsidR="00A85763" w:rsidRPr="00F03494">
        <w:rPr>
          <w:i/>
        </w:rPr>
        <w:t xml:space="preserve">If </w:t>
      </w:r>
      <w:r w:rsidR="00F03494" w:rsidRPr="00F03494">
        <w:rPr>
          <w:i/>
        </w:rPr>
        <w:t>You’re an Egalitarian How Come You’re So R</w:t>
      </w:r>
      <w:r w:rsidR="00A85763" w:rsidRPr="00F03494">
        <w:rPr>
          <w:i/>
        </w:rPr>
        <w:t>ich</w:t>
      </w:r>
      <w:r w:rsidR="00F03494" w:rsidRPr="00F03494">
        <w:rPr>
          <w:i/>
        </w:rPr>
        <w:t>?</w:t>
      </w:r>
      <w:r w:rsidR="00A85763">
        <w:t xml:space="preserve"> </w:t>
      </w:r>
      <w:r w:rsidR="00A13FF4">
        <w:t xml:space="preserve">and together </w:t>
      </w:r>
      <w:r w:rsidR="00F03494">
        <w:t xml:space="preserve">they also comprise the first three chapters of </w:t>
      </w:r>
      <w:r w:rsidR="00A85763">
        <w:t xml:space="preserve">his final major book, </w:t>
      </w:r>
      <w:r w:rsidR="00A85763" w:rsidRPr="00F03494">
        <w:rPr>
          <w:i/>
        </w:rPr>
        <w:t xml:space="preserve">Rescuing </w:t>
      </w:r>
      <w:r w:rsidR="00C43B9A" w:rsidRPr="00F03494">
        <w:rPr>
          <w:i/>
        </w:rPr>
        <w:t>Justice and Equality</w:t>
      </w:r>
      <w:r w:rsidR="00C43B9A">
        <w:t>.</w:t>
      </w:r>
      <w:r w:rsidR="00A85763">
        <w:t xml:space="preserve"> The essential question is how</w:t>
      </w:r>
      <w:r w:rsidR="00A13FF4">
        <w:t xml:space="preserve">, as a believer in equality, </w:t>
      </w:r>
      <w:r w:rsidR="00A85763">
        <w:t>should one behave in one’s personal eco</w:t>
      </w:r>
      <w:r w:rsidR="00A13FF4">
        <w:t xml:space="preserve">nomic life? In particular Cohen </w:t>
      </w:r>
      <w:r w:rsidR="00A85763">
        <w:t>is concerned to question how it could be consistent both to pursue a high income and to espouse egalitarianism. Much of this work is aimed at the criticism of one particular attempt to defend such a combination to be found in the work of John Rawls</w:t>
      </w:r>
      <w:r w:rsidR="00FA52C8">
        <w:t>, who, in effect, became Cohen’s last philosophical opponent</w:t>
      </w:r>
      <w:r w:rsidR="00A85763">
        <w:t>. Rawls’s famous</w:t>
      </w:r>
      <w:r w:rsidR="00F6213B">
        <w:t xml:space="preserve"> ‘Difference P</w:t>
      </w:r>
      <w:r w:rsidR="00A13FF4">
        <w:t>rinciple’ states</w:t>
      </w:r>
      <w:r w:rsidR="00A85763">
        <w:t xml:space="preserve"> that inequalities </w:t>
      </w:r>
      <w:r w:rsidR="00A13FF4">
        <w:t xml:space="preserve">in income and wealth </w:t>
      </w:r>
      <w:r w:rsidR="00A85763">
        <w:t xml:space="preserve">are justified when they are to the </w:t>
      </w:r>
      <w:r w:rsidR="007A57A8">
        <w:t xml:space="preserve">greatest possible </w:t>
      </w:r>
      <w:r w:rsidR="00A85763">
        <w:t>benefit of the worst off.</w:t>
      </w:r>
      <w:r w:rsidR="00A13FF4">
        <w:rPr>
          <w:rStyle w:val="FootnoteReference"/>
        </w:rPr>
        <w:footnoteReference w:id="41"/>
      </w:r>
      <w:r w:rsidR="00A85763">
        <w:t xml:space="preserve"> A</w:t>
      </w:r>
      <w:r w:rsidR="00A13FF4">
        <w:t>n apparently</w:t>
      </w:r>
      <w:r w:rsidR="00A85763">
        <w:t xml:space="preserve"> naïve reply to Rawls is to question how inequalities could ever be to the benefit of the worst off.</w:t>
      </w:r>
      <w:r w:rsidR="00F6213B">
        <w:t xml:space="preserve"> Inequalities can be removed by transferring money from the richer to the poorer, thereby </w:t>
      </w:r>
      <w:r w:rsidR="00FA52C8">
        <w:t xml:space="preserve">achieving equality by </w:t>
      </w:r>
      <w:r w:rsidR="00F6213B">
        <w:t>making the worst off better off.</w:t>
      </w:r>
      <w:r w:rsidR="00A85763">
        <w:t xml:space="preserve"> </w:t>
      </w:r>
      <w:r w:rsidR="00F6213B">
        <w:t>The Rawlsian reply is that such a transfer would,</w:t>
      </w:r>
      <w:r w:rsidR="00A85763">
        <w:t xml:space="preserve"> of course</w:t>
      </w:r>
      <w:r w:rsidR="00F6213B">
        <w:t>,</w:t>
      </w:r>
      <w:r w:rsidR="00A85763">
        <w:t xml:space="preserve"> be better if it were possible. But </w:t>
      </w:r>
      <w:r w:rsidR="00F6213B">
        <w:t xml:space="preserve">the Difference Principle </w:t>
      </w:r>
      <w:r w:rsidR="00FA52C8">
        <w:t>also anticipates</w:t>
      </w:r>
      <w:r w:rsidR="00F6213B">
        <w:t xml:space="preserve"> situation</w:t>
      </w:r>
      <w:r w:rsidR="00FA52C8">
        <w:t>s</w:t>
      </w:r>
      <w:r w:rsidR="00F6213B">
        <w:t xml:space="preserve"> where such a </w:t>
      </w:r>
      <w:r w:rsidR="00FA52C8">
        <w:t xml:space="preserve">beneficial </w:t>
      </w:r>
      <w:r w:rsidR="00F6213B">
        <w:t>transfer is not possible; that is where</w:t>
      </w:r>
      <w:r w:rsidR="00A85763">
        <w:t xml:space="preserve"> equalizing would make everyone worse off</w:t>
      </w:r>
      <w:r w:rsidR="00F6213B">
        <w:t>, at least in the longer term</w:t>
      </w:r>
      <w:r w:rsidR="00A85763">
        <w:t xml:space="preserve">. </w:t>
      </w:r>
      <w:r w:rsidR="00AA6F67">
        <w:t>Broadly this doctrine is thought to be sensitive to the economic argument that everyone can be better off if the highly productive are provided with materia</w:t>
      </w:r>
      <w:r w:rsidR="00263F25">
        <w:t>l incentives to work harder. This, in turn, leads to inequalities that are to the advantage of all.</w:t>
      </w:r>
    </w:p>
    <w:p w:rsidR="00AA6F67" w:rsidRDefault="00AA6F67" w:rsidP="009F7F5E">
      <w:pPr>
        <w:spacing w:before="100" w:beforeAutospacing="1" w:after="100" w:afterAutospacing="1" w:line="480" w:lineRule="auto"/>
      </w:pPr>
    </w:p>
    <w:p w:rsidR="00AA6F67" w:rsidRDefault="00DD2972" w:rsidP="009F7F5E">
      <w:pPr>
        <w:spacing w:before="100" w:beforeAutospacing="1" w:after="100" w:afterAutospacing="1" w:line="480" w:lineRule="auto"/>
      </w:pPr>
      <w:r>
        <w:t xml:space="preserve"> Cohen</w:t>
      </w:r>
      <w:r w:rsidR="00A85763">
        <w:t xml:space="preserve">, however, pushes the argument </w:t>
      </w:r>
      <w:r>
        <w:t xml:space="preserve">to </w:t>
      </w:r>
      <w:r w:rsidR="00A85763">
        <w:t xml:space="preserve">another stage. </w:t>
      </w:r>
      <w:r w:rsidR="00FA52C8">
        <w:t>How can there be circumstances where</w:t>
      </w:r>
      <w:r w:rsidR="00A85763">
        <w:t xml:space="preserve"> </w:t>
      </w:r>
      <w:r w:rsidR="00AA6F67">
        <w:t>equality is impossible at a higher level for all?</w:t>
      </w:r>
      <w:r w:rsidR="00A85763">
        <w:t xml:space="preserve"> Presumably</w:t>
      </w:r>
      <w:r w:rsidR="00FA52C8">
        <w:t>,</w:t>
      </w:r>
      <w:r w:rsidR="00A85763">
        <w:t xml:space="preserve"> </w:t>
      </w:r>
      <w:r w:rsidR="00FA52C8">
        <w:t xml:space="preserve">only </w:t>
      </w:r>
      <w:r w:rsidR="00A85763">
        <w:t xml:space="preserve">because those who are well off will not contribute </w:t>
      </w:r>
      <w:r w:rsidR="007A57A8">
        <w:t>as much effort</w:t>
      </w:r>
      <w:r w:rsidR="00A85763">
        <w:t xml:space="preserve"> at </w:t>
      </w:r>
      <w:r w:rsidR="00D85F09">
        <w:t xml:space="preserve">a </w:t>
      </w:r>
      <w:r w:rsidR="00A85763">
        <w:t xml:space="preserve">lower level of income. This may be </w:t>
      </w:r>
      <w:r w:rsidR="00AA6F67">
        <w:t xml:space="preserve">an </w:t>
      </w:r>
      <w:r w:rsidR="00A85763">
        <w:t>understandable</w:t>
      </w:r>
      <w:r w:rsidR="00AA6F67">
        <w:t xml:space="preserve"> response</w:t>
      </w:r>
      <w:r w:rsidR="00A85763">
        <w:t xml:space="preserve">, if not admirable, for those who do not believe in equality. Yet one of the conditions of Rawls’s </w:t>
      </w:r>
      <w:r w:rsidR="00FA52C8">
        <w:t>account of a ‘</w:t>
      </w:r>
      <w:r w:rsidR="00A85763">
        <w:t>well-ordered society</w:t>
      </w:r>
      <w:r w:rsidR="00FA52C8">
        <w:t>’</w:t>
      </w:r>
      <w:r w:rsidR="00A85763">
        <w:t xml:space="preserve"> is that</w:t>
      </w:r>
      <w:r w:rsidR="00D85F09">
        <w:t xml:space="preserve"> everyone should believe in the Rawlsian principles of justice, and </w:t>
      </w:r>
      <w:r w:rsidR="00AA6F67">
        <w:t>in particular endorse the principle that the worst off should be made as well off as possible.</w:t>
      </w:r>
      <w:r w:rsidR="00D85F09">
        <w:t xml:space="preserve"> </w:t>
      </w:r>
      <w:r w:rsidR="00AA6F67">
        <w:t xml:space="preserve">Therefore </w:t>
      </w:r>
      <w:r w:rsidR="00D85F09">
        <w:t xml:space="preserve">people in a Rawlsian society should not seek higher wages than others, </w:t>
      </w:r>
      <w:r w:rsidR="00AA6F67">
        <w:t xml:space="preserve">unless there is some special reason why they cannot (as distinct from will not) be more productive on the same income as others. Therefore, Cohen argues, </w:t>
      </w:r>
      <w:r w:rsidR="00FA52C8">
        <w:t>the Difference P</w:t>
      </w:r>
      <w:r w:rsidR="00D85F09">
        <w:t>rinciple justifies much less ineq</w:t>
      </w:r>
      <w:r w:rsidR="000360C5">
        <w:t>uality than it is often thought</w:t>
      </w:r>
      <w:r>
        <w:t xml:space="preserve"> to do</w:t>
      </w:r>
      <w:r w:rsidR="000360C5">
        <w:t>, and that Rawlsian principles of justice must be supplemented by an ‘egalitarian ethos’ to guide choices in every day life.</w:t>
      </w:r>
    </w:p>
    <w:p w:rsidR="00D85F09" w:rsidRDefault="00D85F09" w:rsidP="009F7F5E">
      <w:pPr>
        <w:spacing w:before="100" w:beforeAutospacing="1" w:after="100" w:afterAutospacing="1" w:line="480" w:lineRule="auto"/>
      </w:pPr>
    </w:p>
    <w:p w:rsidR="006A10B0" w:rsidRDefault="00D85F09" w:rsidP="009F7F5E">
      <w:pPr>
        <w:spacing w:before="100" w:beforeAutospacing="1" w:after="100" w:afterAutospacing="1" w:line="480" w:lineRule="auto"/>
      </w:pPr>
      <w:r>
        <w:t>There are several resources in Rawls to try to combat this line of argument, although Rawls himself never confronted it in detail.</w:t>
      </w:r>
      <w:r w:rsidR="00AA6F67">
        <w:t xml:space="preserve"> One important response is that the Difference Principle is intended to regulate the ‘basic structure’ of society, rather than personal behaviour. This, and several other strategies, are </w:t>
      </w:r>
      <w:r w:rsidR="000360C5">
        <w:t xml:space="preserve">discussed, and </w:t>
      </w:r>
      <w:r w:rsidR="00AA6F67">
        <w:t xml:space="preserve">rebutted in detail in the first half of </w:t>
      </w:r>
      <w:r w:rsidR="00AA6F67" w:rsidRPr="00AA6F67">
        <w:rPr>
          <w:i/>
        </w:rPr>
        <w:t>Rescuing, Justice and Equality</w:t>
      </w:r>
      <w:r w:rsidR="00AA6F67">
        <w:t>. The second part of the book, while still engaged with Rawlsian theory,</w:t>
      </w:r>
      <w:r w:rsidR="000360C5">
        <w:t xml:space="preserve"> changes tack, extending an argument first presented in a paper entitled ‘Facts and Principles’.</w:t>
      </w:r>
      <w:r w:rsidR="000360C5">
        <w:rPr>
          <w:rStyle w:val="FootnoteReference"/>
        </w:rPr>
        <w:footnoteReference w:id="42"/>
      </w:r>
      <w:r w:rsidR="000360C5">
        <w:t xml:space="preserve"> Here the project is to attempt to show that basic principles of justice must be ‘fact free’ in the sense of </w:t>
      </w:r>
      <w:r w:rsidR="00E06989">
        <w:t xml:space="preserve">not </w:t>
      </w:r>
      <w:r w:rsidR="000360C5">
        <w:t>depending on any em</w:t>
      </w:r>
      <w:r w:rsidR="00FA52C8">
        <w:t>pirical facts. This contrasts with</w:t>
      </w:r>
      <w:r w:rsidR="000360C5">
        <w:t xml:space="preserve"> a Rawlsian ‘constructivist’ approach in which facts about human nature and society are taken into acc</w:t>
      </w:r>
      <w:r w:rsidR="006A10B0">
        <w:t>ount at the most basic level in</w:t>
      </w:r>
      <w:r w:rsidR="000360C5">
        <w:t xml:space="preserve"> formulating principles of justice.</w:t>
      </w:r>
      <w:r w:rsidR="006A10B0">
        <w:t xml:space="preserve"> Here Cohen accuses Rawls and his followers of failing to respect the distinction mentioned above between rules of regulation and (pure) principles of justice.</w:t>
      </w:r>
    </w:p>
    <w:p w:rsidR="006A10B0" w:rsidRDefault="006A10B0" w:rsidP="009F7F5E">
      <w:pPr>
        <w:spacing w:before="100" w:beforeAutospacing="1" w:after="100" w:afterAutospacing="1" w:line="480" w:lineRule="auto"/>
      </w:pPr>
      <w:r>
        <w:t xml:space="preserve">Although this work has attracted respectful and detailed attention, many readers have been surprised by this turn in </w:t>
      </w:r>
      <w:r w:rsidR="00FA52C8">
        <w:t>Cohen’s work. Although it</w:t>
      </w:r>
      <w:r>
        <w:t xml:space="preserve"> is the fruit of several years of sustained endeavour, in con</w:t>
      </w:r>
      <w:r w:rsidR="00FA52C8">
        <w:t>trast to most of his other work</w:t>
      </w:r>
      <w:r>
        <w:t xml:space="preserve"> it is much less clear what the payoff is</w:t>
      </w:r>
      <w:r w:rsidR="00E44C0D">
        <w:t>, as</w:t>
      </w:r>
      <w:r>
        <w:t xml:space="preserve"> his opponents are </w:t>
      </w:r>
      <w:r w:rsidR="00E44C0D">
        <w:t xml:space="preserve">not </w:t>
      </w:r>
      <w:r>
        <w:t xml:space="preserve">convicted of </w:t>
      </w:r>
      <w:r w:rsidR="00E44C0D">
        <w:t xml:space="preserve">any </w:t>
      </w:r>
      <w:r>
        <w:t>substantive error</w:t>
      </w:r>
      <w:r w:rsidR="00E44C0D">
        <w:t xml:space="preserve"> regarding what is to be done</w:t>
      </w:r>
      <w:r>
        <w:t>, as distinct from conceptual confusion</w:t>
      </w:r>
      <w:r w:rsidR="00E44C0D">
        <w:t xml:space="preserve"> regarding the nature of justice</w:t>
      </w:r>
      <w:r>
        <w:t>.</w:t>
      </w:r>
      <w:r w:rsidR="00B03A1F">
        <w:t xml:space="preserve"> However, for Cohen conceptual clarity for its own sake was of the supreme importance.</w:t>
      </w:r>
    </w:p>
    <w:p w:rsidR="00BE6C40" w:rsidRDefault="00F97322" w:rsidP="009F7F5E">
      <w:pPr>
        <w:spacing w:before="100" w:beforeAutospacing="1" w:after="100" w:afterAutospacing="1" w:line="480" w:lineRule="auto"/>
      </w:pPr>
      <w:r>
        <w:t xml:space="preserve">Nevertheless, </w:t>
      </w:r>
      <w:r w:rsidR="00BE6C40">
        <w:t xml:space="preserve">certainly for the chapters in Part One, the book is already a </w:t>
      </w:r>
      <w:r w:rsidR="006A10B0">
        <w:t>classic in political philosophy, and it may well be th</w:t>
      </w:r>
      <w:r w:rsidR="00BE6C40">
        <w:t>at in time the significance of Part T</w:t>
      </w:r>
      <w:r w:rsidR="006A10B0">
        <w:t>wo will come to be better u</w:t>
      </w:r>
      <w:r w:rsidR="00BE6C40">
        <w:t xml:space="preserve">nderstood. </w:t>
      </w:r>
      <w:r>
        <w:t>Furthermore,</w:t>
      </w:r>
      <w:r w:rsidR="00BE6C40">
        <w:t xml:space="preserve"> i</w:t>
      </w:r>
      <w:r w:rsidR="006A10B0">
        <w:t>n presenting his ideas in book length form Cohen came to reflect on a number</w:t>
      </w:r>
      <w:r w:rsidR="00BE6C40">
        <w:t xml:space="preserve"> of items that are foreshadowed in earlier work but explicitly clarified here. For example, there is </w:t>
      </w:r>
      <w:r w:rsidR="00DD2972">
        <w:t xml:space="preserve">a </w:t>
      </w:r>
      <w:r w:rsidR="00BE6C40">
        <w:t>short discussion of Cohen’s attitude to moral realism,</w:t>
      </w:r>
      <w:r w:rsidR="005E48E2">
        <w:rPr>
          <w:rStyle w:val="FootnoteReference"/>
        </w:rPr>
        <w:footnoteReference w:id="43"/>
      </w:r>
      <w:r w:rsidR="00BE6C40">
        <w:t xml:space="preserve"> and a more explicit endorsement of pluralism than is found elsewhere</w:t>
      </w:r>
      <w:r w:rsidR="005E48E2">
        <w:rPr>
          <w:rStyle w:val="FootnoteReference"/>
        </w:rPr>
        <w:footnoteReference w:id="44"/>
      </w:r>
      <w:r w:rsidR="00BE6C40">
        <w:t>.</w:t>
      </w:r>
    </w:p>
    <w:p w:rsidR="00F359D0" w:rsidRDefault="00F97322" w:rsidP="009F7F5E">
      <w:pPr>
        <w:spacing w:before="100" w:beforeAutospacing="1" w:after="100" w:afterAutospacing="1" w:line="480" w:lineRule="auto"/>
      </w:pPr>
      <w:r>
        <w:t>Cohen’s final book</w:t>
      </w:r>
      <w:r w:rsidR="00BE6C40">
        <w:t xml:space="preserve">, </w:t>
      </w:r>
      <w:r w:rsidR="00BE6C40" w:rsidRPr="00F359D0">
        <w:rPr>
          <w:i/>
        </w:rPr>
        <w:t>Why Not Socialism</w:t>
      </w:r>
      <w:r w:rsidR="00BE6C40">
        <w:t>? was completed before he died but published posthumously.</w:t>
      </w:r>
      <w:r w:rsidR="00F359D0">
        <w:rPr>
          <w:rStyle w:val="FootnoteReference"/>
        </w:rPr>
        <w:footnoteReference w:id="45"/>
      </w:r>
      <w:r w:rsidR="00BE6C40">
        <w:t xml:space="preserve"> The book i</w:t>
      </w:r>
      <w:r w:rsidR="00F359D0">
        <w:t>s very short, and published in</w:t>
      </w:r>
      <w:r w:rsidR="00BE6C40">
        <w:t xml:space="preserve"> small format. It begins with an account of a camping trip and persuasively argues that under such circumstances, the trip wo</w:t>
      </w:r>
      <w:r w:rsidR="00DC1E75">
        <w:t>uld be much more enjoyable</w:t>
      </w:r>
      <w:r w:rsidR="00BE6C40">
        <w:t xml:space="preserve"> for all participants</w:t>
      </w:r>
      <w:r>
        <w:t xml:space="preserve">, </w:t>
      </w:r>
      <w:r w:rsidR="00DC1E75">
        <w:t xml:space="preserve">and </w:t>
      </w:r>
      <w:r w:rsidR="00E06989">
        <w:t xml:space="preserve">more </w:t>
      </w:r>
      <w:r w:rsidR="00DC1E75">
        <w:t>efficient</w:t>
      </w:r>
      <w:r>
        <w:t>, if the campers</w:t>
      </w:r>
      <w:r w:rsidR="00BE6C40">
        <w:t xml:space="preserve"> adopted certain anti-individualist principles of </w:t>
      </w:r>
      <w:r w:rsidR="00DC1E75">
        <w:t>community and equality</w:t>
      </w:r>
      <w:r w:rsidR="00BE6C40">
        <w:t xml:space="preserve"> that could f</w:t>
      </w:r>
      <w:r w:rsidR="00E06989">
        <w:t>airly be described as socialist, rather than capitalist market principles</w:t>
      </w:r>
      <w:r w:rsidR="00D21AAC">
        <w:t>,</w:t>
      </w:r>
      <w:r w:rsidR="00E06989">
        <w:t xml:space="preserve"> to govern their interactions. </w:t>
      </w:r>
      <w:r w:rsidR="00F359D0">
        <w:t>The book continues with the question of why it should be that such socialist principles are not adopted in broader social and economic life.</w:t>
      </w:r>
      <w:r>
        <w:t xml:space="preserve"> Here Cohen refuses to accept the pessimism about human nature that suggests that natural human selfishness makes socialism impossible. Rather, he points out, we have not </w:t>
      </w:r>
      <w:r w:rsidR="00FA52C8">
        <w:t xml:space="preserve">(yet?) </w:t>
      </w:r>
      <w:r>
        <w:t>been able to devise social mechanisms that allow ourselves to organize large-scale economic interaction on the basis of human generosity, in contrast to the capitalist free market, which can turn individual greed and fear to general advantage, although, if course, it has many disadvantages too.</w:t>
      </w:r>
    </w:p>
    <w:p w:rsidR="003B3474" w:rsidRDefault="00F359D0" w:rsidP="009F7F5E">
      <w:pPr>
        <w:spacing w:before="100" w:beforeAutospacing="1" w:after="100" w:afterAutospacing="1" w:line="480" w:lineRule="auto"/>
      </w:pPr>
      <w:r>
        <w:t>At his death Cohen left a number of works in progress as well as a series of lectures on mora</w:t>
      </w:r>
      <w:r w:rsidR="00FA52C8">
        <w:t>l and political philosophy that</w:t>
      </w:r>
      <w:r>
        <w:t xml:space="preserve"> he had intended to </w:t>
      </w:r>
      <w:r w:rsidR="00FA52C8">
        <w:t>prepare</w:t>
      </w:r>
      <w:r>
        <w:t xml:space="preserve"> for publication. Much of this work will be publis</w:t>
      </w:r>
      <w:r w:rsidR="00FA52C8">
        <w:t>hed in the next few years. O</w:t>
      </w:r>
      <w:r>
        <w:t xml:space="preserve">ne of the most intriguing </w:t>
      </w:r>
      <w:r w:rsidR="00F97322">
        <w:t xml:space="preserve">as yet </w:t>
      </w:r>
      <w:r>
        <w:t>unpublished papers is called ‘One Kind of Spirituality’</w:t>
      </w:r>
      <w:r w:rsidR="00F97322">
        <w:t>. The importance of Cohen’s</w:t>
      </w:r>
      <w:r>
        <w:t xml:space="preserve"> Jewish background has already been remarked u</w:t>
      </w:r>
      <w:r w:rsidR="00F97322">
        <w:t xml:space="preserve">pon, but many assumed that </w:t>
      </w:r>
      <w:r w:rsidR="007A57A8">
        <w:t>he had no interest in any issues of religion or spirituality</w:t>
      </w:r>
      <w:r w:rsidR="003B3474">
        <w:t>, especially given what he has described as his ‘anti-religious upbringing’</w:t>
      </w:r>
      <w:r>
        <w:t xml:space="preserve">. However two of three children, Gideon and Sarah, </w:t>
      </w:r>
      <w:r w:rsidR="003B3474">
        <w:t>took a different direction, Gideon adopting Rastafarianism and moving to</w:t>
      </w:r>
      <w:r w:rsidR="00A65963">
        <w:t xml:space="preserve"> Ethiopia, and Sarah spending </w:t>
      </w:r>
      <w:r w:rsidR="00E06989">
        <w:t>much</w:t>
      </w:r>
      <w:r w:rsidR="003B3474">
        <w:t xml:space="preserve"> of her time in an Ashram in the southern Indian state of Kerala. Cohen’s love and respect for his children no doubt encouraged him to t</w:t>
      </w:r>
      <w:r w:rsidR="007A57A8">
        <w:t>ake their views seriously. I</w:t>
      </w:r>
      <w:r w:rsidR="003B3474">
        <w:t xml:space="preserve">n his Gifford Lectures for 1996 – normally given on a theme in Philosophy of Religion – Cohen stated that he was agnostic, not an atheist. But more surprisingly for many readers, he revealed himself as a </w:t>
      </w:r>
      <w:r w:rsidR="007A57A8">
        <w:t xml:space="preserve">long-standing and </w:t>
      </w:r>
      <w:r w:rsidR="003B3474">
        <w:t>regul</w:t>
      </w:r>
      <w:r w:rsidR="00F97322">
        <w:t>ar Bible reader of</w:t>
      </w:r>
      <w:r w:rsidR="003B3474">
        <w:t xml:space="preserve"> both testaments</w:t>
      </w:r>
      <w:r w:rsidR="00A65963">
        <w:t>. I</w:t>
      </w:r>
      <w:r w:rsidR="00FA52C8">
        <w:t>n the lectures he showed a respectful and tolerant attitude to religion, and especially Christianity</w:t>
      </w:r>
      <w:r w:rsidR="003B3474">
        <w:t>.</w:t>
      </w:r>
    </w:p>
    <w:p w:rsidR="00D85F09" w:rsidRPr="00AA6F67" w:rsidRDefault="003B3474" w:rsidP="009F7F5E">
      <w:pPr>
        <w:spacing w:before="100" w:beforeAutospacing="1" w:after="100" w:afterAutospacing="1" w:line="480" w:lineRule="auto"/>
      </w:pPr>
      <w:r>
        <w:t xml:space="preserve">It should be clear from the forgoing how important family was to Cohen. His first major philosophical project was seen as a type of repayment to his parents, to whom his first book </w:t>
      </w:r>
      <w:r w:rsidR="00A92E66">
        <w:t xml:space="preserve">was </w:t>
      </w:r>
      <w:r>
        <w:t xml:space="preserve">dedicated. </w:t>
      </w:r>
      <w:r w:rsidR="000F31CA">
        <w:t xml:space="preserve">He married Margaret Pearce in 1965 </w:t>
      </w:r>
      <w:r w:rsidR="00F97322">
        <w:t>and they had three children, G</w:t>
      </w:r>
      <w:r w:rsidR="00A65963">
        <w:t>ideon, Miriam (who now teaches p</w:t>
      </w:r>
      <w:r w:rsidR="00F97322">
        <w:t xml:space="preserve">hilosophy </w:t>
      </w:r>
      <w:r w:rsidR="007A57A8">
        <w:t>in London</w:t>
      </w:r>
      <w:r w:rsidR="00F97322">
        <w:t>) and Sarah. Th</w:t>
      </w:r>
      <w:r w:rsidR="000F31CA">
        <w:t>e marriage was dissolved</w:t>
      </w:r>
      <w:r w:rsidR="00F97322">
        <w:t xml:space="preserve"> but Cohen remained on </w:t>
      </w:r>
      <w:r w:rsidR="00FA52C8">
        <w:t>very good</w:t>
      </w:r>
      <w:r w:rsidR="00F97322">
        <w:t xml:space="preserve"> terms with Maggie, and both </w:t>
      </w:r>
      <w:r w:rsidR="000F31CA">
        <w:t xml:space="preserve">remarried, Cohen to </w:t>
      </w:r>
      <w:r w:rsidR="000F31CA" w:rsidRPr="000F31CA">
        <w:rPr>
          <w:rFonts w:cs="Arial"/>
          <w:szCs w:val="26"/>
        </w:rPr>
        <w:t>Michè</w:t>
      </w:r>
      <w:r w:rsidR="000F31CA">
        <w:rPr>
          <w:rFonts w:cs="Arial"/>
          <w:szCs w:val="26"/>
        </w:rPr>
        <w:t xml:space="preserve">le Jacottet in </w:t>
      </w:r>
      <w:r w:rsidR="000F31CA">
        <w:t>1999</w:t>
      </w:r>
      <w:r w:rsidR="00F97322">
        <w:t>.</w:t>
      </w:r>
      <w:r w:rsidR="00FA52C8">
        <w:t xml:space="preserve"> </w:t>
      </w:r>
      <w:r w:rsidR="00F97322">
        <w:t xml:space="preserve"> His second marriage was a very happy one, spent in the company of what was now a complex and growing extended family.</w:t>
      </w:r>
    </w:p>
    <w:p w:rsidR="00FB1F11" w:rsidRPr="00FE6008" w:rsidRDefault="00F97322" w:rsidP="009F7F5E">
      <w:pPr>
        <w:spacing w:before="100" w:beforeAutospacing="1" w:after="100" w:afterAutospacing="1" w:line="480" w:lineRule="auto"/>
      </w:pPr>
      <w:r>
        <w:t>Cohen’s contribution to pol</w:t>
      </w:r>
      <w:r w:rsidR="00E06989">
        <w:t xml:space="preserve">itical philosophy has been </w:t>
      </w:r>
      <w:r>
        <w:t xml:space="preserve">extensive, defending what </w:t>
      </w:r>
      <w:r w:rsidR="001D297B">
        <w:t>many would regard as</w:t>
      </w:r>
      <w:r>
        <w:t xml:space="preserve"> the most thorough-going and radical egalitarianism to be found among analytical philosophers. However</w:t>
      </w:r>
      <w:r w:rsidR="00A65963">
        <w:t>,</w:t>
      </w:r>
      <w:r>
        <w:t xml:space="preserve"> his own positive view was not developed in the detail of other leadi</w:t>
      </w:r>
      <w:r w:rsidR="00FA52C8">
        <w:t>ng figures such as John Rawls,</w:t>
      </w:r>
      <w:r>
        <w:t xml:space="preserve"> Ronald Dworkin</w:t>
      </w:r>
      <w:r w:rsidR="00FA52C8">
        <w:t xml:space="preserve"> or John Ro</w:t>
      </w:r>
      <w:r w:rsidR="007A57A8">
        <w:t>e</w:t>
      </w:r>
      <w:r w:rsidR="00FA52C8">
        <w:t>mer</w:t>
      </w:r>
      <w:r>
        <w:t xml:space="preserve">. Rather, as noted, Cohen considered himself more of a reactive than </w:t>
      </w:r>
      <w:r w:rsidR="00A92E66">
        <w:t xml:space="preserve">an </w:t>
      </w:r>
      <w:r>
        <w:t xml:space="preserve">individually creative philosopher. In this his skill was unrivalled. </w:t>
      </w:r>
      <w:r w:rsidR="00FB1F11" w:rsidRPr="00FE6008">
        <w:t xml:space="preserve">His style is often that of an expert demolition worker: finding what might look like a rather </w:t>
      </w:r>
      <w:r w:rsidR="00FA52C8">
        <w:t>banal difficulty</w:t>
      </w:r>
      <w:r w:rsidR="00FB1F11" w:rsidRPr="00FE6008">
        <w:t xml:space="preserve">, but </w:t>
      </w:r>
      <w:r w:rsidR="00FA52C8">
        <w:t>probing and probing</w:t>
      </w:r>
      <w:r w:rsidR="00FB1F11" w:rsidRPr="00FE6008">
        <w:t xml:space="preserve"> un</w:t>
      </w:r>
      <w:r>
        <w:t xml:space="preserve">til the edifice collapses. Cohen </w:t>
      </w:r>
      <w:r w:rsidR="00FA52C8">
        <w:t xml:space="preserve">knew </w:t>
      </w:r>
      <w:r w:rsidR="00FB1F11" w:rsidRPr="00FE6008">
        <w:t>exactly where to locate his criticism, and how to develop it to greatest effect. At first sight the criticisms can look pedantic or fussy, but as the arguments develop something of gre</w:t>
      </w:r>
      <w:r>
        <w:t xml:space="preserve">at </w:t>
      </w:r>
      <w:r w:rsidR="00FA52C8">
        <w:t>power</w:t>
      </w:r>
      <w:r>
        <w:t xml:space="preserve"> emerges. </w:t>
      </w:r>
      <w:r w:rsidR="00FA52C8">
        <w:t>Those who have the instinct to defend the views he attacks find themselves with a much more difficult task than they first assumed.</w:t>
      </w:r>
    </w:p>
    <w:p w:rsidR="00FB1F11" w:rsidRPr="00FE6008" w:rsidRDefault="00F97322" w:rsidP="009F7F5E">
      <w:pPr>
        <w:spacing w:before="100" w:beforeAutospacing="1" w:after="100" w:afterAutospacing="1" w:line="480" w:lineRule="auto"/>
      </w:pPr>
      <w:r>
        <w:t>Cohen</w:t>
      </w:r>
      <w:r w:rsidR="00FB1F11" w:rsidRPr="00FE6008">
        <w:t xml:space="preserve"> will be remembered for his work, but just as much for his wit and</w:t>
      </w:r>
      <w:r w:rsidR="00A65963">
        <w:t xml:space="preserve"> his</w:t>
      </w:r>
      <w:r w:rsidR="00FB1F11" w:rsidRPr="00FE6008">
        <w:t xml:space="preserve"> support for other people. Even in prestigious public lectures he would </w:t>
      </w:r>
      <w:r>
        <w:t xml:space="preserve">crack jokes, </w:t>
      </w:r>
      <w:r w:rsidR="00FB1F11" w:rsidRPr="00FE6008">
        <w:t xml:space="preserve">burst into song, or imitate other philosophers. </w:t>
      </w:r>
      <w:r>
        <w:t xml:space="preserve"> He would do the same thing</w:t>
      </w:r>
      <w:r w:rsidR="00B03A1F">
        <w:t xml:space="preserve"> in restaurants, drawing waiting staff</w:t>
      </w:r>
      <w:r>
        <w:t xml:space="preserve"> or diners at other tables into the fun</w:t>
      </w:r>
      <w:r w:rsidR="00FA52C8">
        <w:t xml:space="preserve"> and good-natured mischief</w:t>
      </w:r>
      <w:r>
        <w:t xml:space="preserve">. </w:t>
      </w:r>
      <w:r w:rsidR="00FB1F11" w:rsidRPr="00FE6008">
        <w:t xml:space="preserve">His valedictory lecture at Oxford in 2008 included a series of imitations or parodies of many well-known philosophers, and was said by </w:t>
      </w:r>
      <w:r w:rsidR="001D297B">
        <w:t xml:space="preserve">many </w:t>
      </w:r>
      <w:r w:rsidR="00FB1F11" w:rsidRPr="00FE6008">
        <w:t xml:space="preserve">members of the audience </w:t>
      </w:r>
      <w:r w:rsidR="007A57A8">
        <w:t>to be</w:t>
      </w:r>
      <w:r w:rsidR="00FB1F11" w:rsidRPr="00FE6008">
        <w:t xml:space="preserve"> the funnies</w:t>
      </w:r>
      <w:r w:rsidR="001D297B">
        <w:t>t and most entertaining lecture</w:t>
      </w:r>
      <w:r w:rsidR="00FB1F11" w:rsidRPr="00FE6008">
        <w:t xml:space="preserve"> they had witnessed. </w:t>
      </w:r>
      <w:r w:rsidR="00B204E6">
        <w:t>Fortunately s</w:t>
      </w:r>
      <w:r w:rsidR="001D297B">
        <w:t>ome</w:t>
      </w:r>
      <w:r w:rsidR="00B204E6">
        <w:t xml:space="preserve"> </w:t>
      </w:r>
      <w:r w:rsidR="00DF1CDE">
        <w:t>video and audio</w:t>
      </w:r>
      <w:r>
        <w:t xml:space="preserve"> recording</w:t>
      </w:r>
      <w:r w:rsidR="00B204E6">
        <w:t xml:space="preserve">s </w:t>
      </w:r>
      <w:r w:rsidR="007A57A8">
        <w:t xml:space="preserve">of Cohen </w:t>
      </w:r>
      <w:r w:rsidR="00B204E6">
        <w:t>survive, most notably</w:t>
      </w:r>
      <w:r>
        <w:t xml:space="preserve"> a </w:t>
      </w:r>
      <w:r w:rsidR="00A65963">
        <w:t xml:space="preserve">TV programme,  </w:t>
      </w:r>
      <w:r w:rsidR="00A65963" w:rsidRPr="00A65963">
        <w:rPr>
          <w:i/>
        </w:rPr>
        <w:t>No Habitat for a S</w:t>
      </w:r>
      <w:r w:rsidR="000F31CA" w:rsidRPr="00A65963">
        <w:rPr>
          <w:i/>
        </w:rPr>
        <w:t>hmoo</w:t>
      </w:r>
      <w:r w:rsidR="000F31CA">
        <w:t>, made in 1986</w:t>
      </w:r>
      <w:r w:rsidR="00B204E6">
        <w:t>,</w:t>
      </w:r>
      <w:r w:rsidR="007A57A8">
        <w:t xml:space="preserve"> some videos of lectures and impersonations delivered in Madison Wisconsin in 1998, and </w:t>
      </w:r>
      <w:r w:rsidR="00CC2666">
        <w:t xml:space="preserve"> an imperfect </w:t>
      </w:r>
      <w:r w:rsidR="000F31CA">
        <w:t xml:space="preserve">audio </w:t>
      </w:r>
      <w:r w:rsidR="00CC2666">
        <w:t>recording of the valedictory lecture.</w:t>
      </w:r>
      <w:r w:rsidR="00D21AAC">
        <w:rPr>
          <w:rStyle w:val="FootnoteReference"/>
        </w:rPr>
        <w:footnoteReference w:id="46"/>
      </w:r>
    </w:p>
    <w:p w:rsidR="00FB1F11" w:rsidRPr="00FE6008" w:rsidRDefault="00217AB9" w:rsidP="009F7F5E">
      <w:pPr>
        <w:spacing w:before="100" w:beforeAutospacing="1" w:after="100" w:afterAutospacing="1" w:line="480" w:lineRule="auto"/>
      </w:pPr>
      <w:r>
        <w:t>In 2009</w:t>
      </w:r>
      <w:r w:rsidR="00C40AB0">
        <w:t>, about half a year before his death,</w:t>
      </w:r>
      <w:r w:rsidR="00FB1F11" w:rsidRPr="00FE6008">
        <w:t xml:space="preserve"> a conference at Oxford was held in </w:t>
      </w:r>
      <w:r w:rsidR="00F9021A">
        <w:t xml:space="preserve">celebration of his work and career. </w:t>
      </w:r>
      <w:r w:rsidR="00C40AB0">
        <w:t xml:space="preserve">In remarks at the end of the conference </w:t>
      </w:r>
      <w:r w:rsidR="00F9021A">
        <w:t>Cohen</w:t>
      </w:r>
      <w:r w:rsidR="00FB1F11" w:rsidRPr="00FE6008">
        <w:t xml:space="preserve"> </w:t>
      </w:r>
      <w:r w:rsidR="002D2E64">
        <w:t>observed</w:t>
      </w:r>
      <w:r w:rsidR="00C40AB0">
        <w:t xml:space="preserve"> </w:t>
      </w:r>
      <w:r w:rsidR="00FB1F11" w:rsidRPr="00FE6008">
        <w:t xml:space="preserve"> how odd it is that in this country we honour people </w:t>
      </w:r>
      <w:r w:rsidR="00CC2666">
        <w:t>by</w:t>
      </w:r>
      <w:r w:rsidR="00FB1F11" w:rsidRPr="00FE6008">
        <w:t xml:space="preserve"> attempt</w:t>
      </w:r>
      <w:r w:rsidR="00CC2666">
        <w:t>ing</w:t>
      </w:r>
      <w:r w:rsidR="00FB1F11" w:rsidRPr="00FE6008">
        <w:t xml:space="preserve"> to rip their work to pieces. But </w:t>
      </w:r>
      <w:r w:rsidR="002D2E64">
        <w:t>in these remarks he also made clear how</w:t>
      </w:r>
      <w:r w:rsidR="00FB1F11" w:rsidRPr="00FE6008">
        <w:t xml:space="preserve"> extremely proud </w:t>
      </w:r>
      <w:r w:rsidR="002D2E64">
        <w:t xml:space="preserve">he was </w:t>
      </w:r>
      <w:r w:rsidR="00FB1F11" w:rsidRPr="00FE6008">
        <w:t>of his former students</w:t>
      </w:r>
      <w:r w:rsidR="002D2E64">
        <w:t>--of</w:t>
      </w:r>
      <w:r w:rsidR="00FB1F11" w:rsidRPr="00FE6008">
        <w:t xml:space="preserve"> how confident they had become, and </w:t>
      </w:r>
      <w:r w:rsidR="002D2E64">
        <w:t xml:space="preserve">of </w:t>
      </w:r>
      <w:r w:rsidR="00FB1F11" w:rsidRPr="00FE6008">
        <w:t>how much they had</w:t>
      </w:r>
      <w:r w:rsidR="00CC2666">
        <w:t xml:space="preserve"> become their own people. Cohen </w:t>
      </w:r>
      <w:r w:rsidR="00FB1F11" w:rsidRPr="00FE6008">
        <w:t>was extraordinarily generous with his time, and not only for his own students, and not only on his own topics. His native intelligence – honed by tutorials with Gilbert Ryle – enabled him to grapple with any topic put to him, a</w:t>
      </w:r>
      <w:r w:rsidR="00F9021A">
        <w:t>nd fifteen minutes with Cohen</w:t>
      </w:r>
      <w:r w:rsidR="00FB1F11" w:rsidRPr="00FE6008">
        <w:t xml:space="preserve"> would leave anyone understanding both more and less about their own view or argument. All of those who met him, or read his work, will reali</w:t>
      </w:r>
      <w:r w:rsidR="00FB1F11">
        <w:t>s</w:t>
      </w:r>
      <w:r w:rsidR="007A57A8">
        <w:t>e what a gap</w:t>
      </w:r>
      <w:r w:rsidR="00FB1F11" w:rsidRPr="00FE6008">
        <w:t xml:space="preserve"> his unexpected </w:t>
      </w:r>
      <w:r w:rsidR="00CC2666">
        <w:t>death</w:t>
      </w:r>
      <w:r w:rsidR="00F9021A">
        <w:t xml:space="preserve"> has</w:t>
      </w:r>
      <w:r w:rsidR="00CC2666">
        <w:t xml:space="preserve"> left</w:t>
      </w:r>
      <w:r w:rsidR="00FB1F11" w:rsidRPr="00FE6008">
        <w:t>. He gave so much, yet he still had so much more. Any attempt to express how much he will be missed by his family, friends, colleagues and even those who never met him, will seem trite or formulaic.</w:t>
      </w:r>
      <w:r w:rsidR="00FA52C8">
        <w:rPr>
          <w:rStyle w:val="FootnoteReference"/>
        </w:rPr>
        <w:footnoteReference w:id="47"/>
      </w:r>
    </w:p>
    <w:p w:rsidR="00FB1F11" w:rsidRDefault="00FB1F11" w:rsidP="009F7F5E">
      <w:pPr>
        <w:spacing w:line="480" w:lineRule="auto"/>
        <w:rPr>
          <w:lang w:val="en-GB"/>
        </w:rPr>
      </w:pPr>
    </w:p>
    <w:p w:rsidR="00071BEA" w:rsidRDefault="00071BEA" w:rsidP="009F7F5E">
      <w:pPr>
        <w:spacing w:line="480" w:lineRule="auto"/>
        <w:rPr>
          <w:lang w:val="en-GB"/>
        </w:rPr>
      </w:pPr>
    </w:p>
    <w:p w:rsidR="00B8447D" w:rsidRPr="00B8447D" w:rsidRDefault="00B8447D" w:rsidP="009F7F5E">
      <w:pPr>
        <w:spacing w:line="480" w:lineRule="auto"/>
        <w:rPr>
          <w:lang w:val="en-GB"/>
        </w:rPr>
      </w:pPr>
    </w:p>
    <w:sectPr w:rsidR="00B8447D" w:rsidRPr="00B8447D" w:rsidSect="00B8447D">
      <w:footerReference w:type="even" r:id="rId8"/>
      <w:footerReference w:type="default" r:id="rId9"/>
      <w:pgSz w:w="11900" w:h="16840"/>
      <w:pgMar w:top="1440" w:right="1800" w:bottom="1440" w:left="1800" w:header="708" w:footer="708"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85C" w:rsidRDefault="00F1285C" w:rsidP="00FF206F">
      <w:pPr>
        <w:spacing w:after="0"/>
      </w:pPr>
      <w:r>
        <w:separator/>
      </w:r>
    </w:p>
  </w:endnote>
  <w:endnote w:type="continuationSeparator" w:id="0">
    <w:p w:rsidR="00F1285C" w:rsidRDefault="00F1285C" w:rsidP="00FF206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85C" w:rsidRDefault="00377383" w:rsidP="005A6BAA">
    <w:pPr>
      <w:pStyle w:val="Footer"/>
      <w:framePr w:wrap="around" w:vAnchor="text" w:hAnchor="margin" w:xAlign="right" w:y="1"/>
      <w:rPr>
        <w:rStyle w:val="PageNumber"/>
      </w:rPr>
    </w:pPr>
    <w:r>
      <w:rPr>
        <w:rStyle w:val="PageNumber"/>
      </w:rPr>
      <w:fldChar w:fldCharType="begin"/>
    </w:r>
    <w:r w:rsidR="00F1285C">
      <w:rPr>
        <w:rStyle w:val="PageNumber"/>
      </w:rPr>
      <w:instrText xml:space="preserve">PAGE  </w:instrText>
    </w:r>
    <w:r>
      <w:rPr>
        <w:rStyle w:val="PageNumber"/>
      </w:rPr>
      <w:fldChar w:fldCharType="end"/>
    </w:r>
  </w:p>
  <w:p w:rsidR="00F1285C" w:rsidRDefault="00F1285C" w:rsidP="005A6BA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85C" w:rsidRDefault="00377383" w:rsidP="005A6BAA">
    <w:pPr>
      <w:pStyle w:val="Footer"/>
      <w:framePr w:wrap="around" w:vAnchor="text" w:hAnchor="margin" w:xAlign="right" w:y="1"/>
      <w:rPr>
        <w:rStyle w:val="PageNumber"/>
      </w:rPr>
    </w:pPr>
    <w:r>
      <w:rPr>
        <w:rStyle w:val="PageNumber"/>
      </w:rPr>
      <w:fldChar w:fldCharType="begin"/>
    </w:r>
    <w:r w:rsidR="00F1285C">
      <w:rPr>
        <w:rStyle w:val="PageNumber"/>
      </w:rPr>
      <w:instrText xml:space="preserve">PAGE  </w:instrText>
    </w:r>
    <w:r>
      <w:rPr>
        <w:rStyle w:val="PageNumber"/>
      </w:rPr>
      <w:fldChar w:fldCharType="separate"/>
    </w:r>
    <w:r w:rsidR="009310AE">
      <w:rPr>
        <w:rStyle w:val="PageNumber"/>
        <w:noProof/>
      </w:rPr>
      <w:t>30</w:t>
    </w:r>
    <w:r>
      <w:rPr>
        <w:rStyle w:val="PageNumber"/>
      </w:rPr>
      <w:fldChar w:fldCharType="end"/>
    </w:r>
  </w:p>
  <w:p w:rsidR="00F1285C" w:rsidRDefault="00F1285C" w:rsidP="005A6BAA">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85C" w:rsidRDefault="00F1285C" w:rsidP="00FF206F">
      <w:pPr>
        <w:spacing w:after="0"/>
      </w:pPr>
      <w:r>
        <w:separator/>
      </w:r>
    </w:p>
  </w:footnote>
  <w:footnote w:type="continuationSeparator" w:id="0">
    <w:p w:rsidR="00F1285C" w:rsidRDefault="00F1285C" w:rsidP="00FF206F">
      <w:pPr>
        <w:spacing w:after="0"/>
      </w:pPr>
      <w:r>
        <w:continuationSeparator/>
      </w:r>
    </w:p>
  </w:footnote>
  <w:footnote w:id="1">
    <w:p w:rsidR="00F1285C" w:rsidRDefault="00F1285C">
      <w:pPr>
        <w:pStyle w:val="FootnoteText"/>
      </w:pPr>
      <w:r>
        <w:rPr>
          <w:rStyle w:val="FootnoteReference"/>
        </w:rPr>
        <w:footnoteRef/>
      </w:r>
      <w:r>
        <w:t xml:space="preserve"> G.A. Cohen, </w:t>
      </w:r>
      <w:r w:rsidRPr="000F7E4E">
        <w:rPr>
          <w:i/>
        </w:rPr>
        <w:t>If You’re an Egalitarian, How Come You’re So Rich?</w:t>
      </w:r>
      <w:r>
        <w:t xml:space="preserve"> (Cambridge Ma.: Harvard University Press, 2000), pp. 20-41.</w:t>
      </w:r>
    </w:p>
  </w:footnote>
  <w:footnote w:id="2">
    <w:p w:rsidR="00F1285C" w:rsidRDefault="00F1285C">
      <w:pPr>
        <w:pStyle w:val="FootnoteText"/>
      </w:pPr>
      <w:r>
        <w:rPr>
          <w:rStyle w:val="FootnoteReference"/>
        </w:rPr>
        <w:footnoteRef/>
      </w:r>
      <w:r>
        <w:t xml:space="preserve"> G.A. Cohen, </w:t>
      </w:r>
      <w:r w:rsidRPr="000F7E4E">
        <w:rPr>
          <w:i/>
        </w:rPr>
        <w:t>History, Labour and Freedom</w:t>
      </w:r>
      <w:r>
        <w:t xml:space="preserve"> (Oxford: Oxford University Press, 1988), p. xi.</w:t>
      </w:r>
    </w:p>
  </w:footnote>
  <w:footnote w:id="3">
    <w:p w:rsidR="00F1285C" w:rsidRDefault="00F1285C">
      <w:pPr>
        <w:pStyle w:val="FootnoteText"/>
      </w:pPr>
      <w:r>
        <w:rPr>
          <w:rStyle w:val="FootnoteReference"/>
        </w:rPr>
        <w:footnoteRef/>
      </w:r>
      <w:r>
        <w:t xml:space="preserve"> G.A. Cohen, </w:t>
      </w:r>
      <w:r w:rsidRPr="009C18BE">
        <w:rPr>
          <w:i/>
        </w:rPr>
        <w:t>Karl Marx’s Theory of History: A Defence</w:t>
      </w:r>
      <w:r>
        <w:t xml:space="preserve"> (Oxford: Oxford University Press, 1978, expanded edition 2000).</w:t>
      </w:r>
    </w:p>
  </w:footnote>
  <w:footnote w:id="4">
    <w:p w:rsidR="00F1285C" w:rsidRDefault="00F1285C">
      <w:pPr>
        <w:pStyle w:val="FootnoteText"/>
      </w:pPr>
      <w:r>
        <w:rPr>
          <w:rStyle w:val="FootnoteReference"/>
        </w:rPr>
        <w:footnoteRef/>
      </w:r>
      <w:r>
        <w:t xml:space="preserve"> </w:t>
      </w:r>
      <w:r w:rsidRPr="000F7E4E">
        <w:rPr>
          <w:i/>
        </w:rPr>
        <w:t>History, Labour and Freedom</w:t>
      </w:r>
      <w:r>
        <w:t>, p, xi.</w:t>
      </w:r>
    </w:p>
  </w:footnote>
  <w:footnote w:id="5">
    <w:p w:rsidR="00F1285C" w:rsidRDefault="00F1285C" w:rsidP="00B64272">
      <w:pPr>
        <w:pStyle w:val="FootnoteText"/>
      </w:pPr>
      <w:r>
        <w:rPr>
          <w:rStyle w:val="FootnoteReference"/>
        </w:rPr>
        <w:footnoteRef/>
      </w:r>
      <w:r>
        <w:t xml:space="preserve"> G.A. Cohen. ‘</w:t>
      </w:r>
      <w:r>
        <w:rPr>
          <w:rFonts w:ascii="Times New Roman" w:hAnsi="Times New Roman" w:cs="Times New Roman"/>
        </w:rPr>
        <w:t xml:space="preserve">Beliefs and Roles’, </w:t>
      </w:r>
      <w:r w:rsidRPr="00B64272">
        <w:rPr>
          <w:rFonts w:ascii="Times New Roman" w:hAnsi="Times New Roman" w:cs="Times New Roman"/>
          <w:i/>
        </w:rPr>
        <w:t>Proceedings of the Aristotelian Society</w:t>
      </w:r>
      <w:r>
        <w:rPr>
          <w:rFonts w:ascii="Times New Roman" w:hAnsi="Times New Roman" w:cs="Times New Roman"/>
        </w:rPr>
        <w:t xml:space="preserve"> 1xvii (1966-7), 17-34.</w:t>
      </w:r>
    </w:p>
  </w:footnote>
  <w:footnote w:id="6">
    <w:p w:rsidR="00F1285C" w:rsidRDefault="00F1285C">
      <w:pPr>
        <w:pStyle w:val="FootnoteText"/>
      </w:pPr>
      <w:r>
        <w:rPr>
          <w:rStyle w:val="FootnoteReference"/>
        </w:rPr>
        <w:footnoteRef/>
      </w:r>
      <w:r>
        <w:t xml:space="preserve"> G.A. Cohen, ‘</w:t>
      </w:r>
      <w:r>
        <w:rPr>
          <w:rFonts w:ascii="Times New Roman" w:hAnsi="Times New Roman" w:cs="Times New Roman"/>
        </w:rPr>
        <w:t xml:space="preserve">The Workers and the Word: Why Marx had the right to think he was right’, </w:t>
      </w:r>
      <w:r w:rsidRPr="00B64272">
        <w:rPr>
          <w:rFonts w:ascii="Times New Roman" w:hAnsi="Times New Roman" w:cs="Times New Roman"/>
          <w:i/>
        </w:rPr>
        <w:t xml:space="preserve">Praxis </w:t>
      </w:r>
      <w:r>
        <w:rPr>
          <w:rFonts w:ascii="Times New Roman" w:hAnsi="Times New Roman" w:cs="Times New Roman"/>
        </w:rPr>
        <w:t>(Zagreb) 3/4 (1968), 376-90.</w:t>
      </w:r>
    </w:p>
  </w:footnote>
  <w:footnote w:id="7">
    <w:p w:rsidR="00F1285C" w:rsidRPr="00B64272" w:rsidRDefault="00F1285C" w:rsidP="00B642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i/>
        </w:rPr>
      </w:pPr>
      <w:r>
        <w:rPr>
          <w:rStyle w:val="FootnoteReference"/>
        </w:rPr>
        <w:footnoteRef/>
      </w:r>
      <w:r>
        <w:t xml:space="preserve"> G.A. Cohen, ‘</w:t>
      </w:r>
      <w:r>
        <w:rPr>
          <w:rFonts w:ascii="Times New Roman" w:hAnsi="Times New Roman" w:cs="Times New Roman"/>
        </w:rPr>
        <w:t xml:space="preserve">On Some Criticisms of Historical Materialism’, </w:t>
      </w:r>
      <w:r w:rsidRPr="00B64272">
        <w:rPr>
          <w:rFonts w:ascii="Times New Roman" w:hAnsi="Times New Roman" w:cs="Times New Roman"/>
          <w:i/>
        </w:rPr>
        <w:t>Suppl. Proceedings of the Aristotelian Society</w:t>
      </w:r>
      <w:r>
        <w:rPr>
          <w:rFonts w:ascii="Times New Roman" w:hAnsi="Times New Roman" w:cs="Times New Roman"/>
        </w:rPr>
        <w:t xml:space="preserve"> x1iv (1970), 121-41.</w:t>
      </w:r>
    </w:p>
  </w:footnote>
  <w:footnote w:id="8">
    <w:p w:rsidR="00F1285C" w:rsidRPr="00357FF6" w:rsidRDefault="00F1285C" w:rsidP="00357F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Times New Roman"/>
        </w:rPr>
      </w:pPr>
      <w:r>
        <w:rPr>
          <w:rStyle w:val="FootnoteReference"/>
        </w:rPr>
        <w:footnoteRef/>
      </w:r>
      <w:r>
        <w:t xml:space="preserve"> G.A. Cohen, ‘</w:t>
      </w:r>
      <w:r>
        <w:rPr>
          <w:rFonts w:ascii="Times New Roman" w:hAnsi="Times New Roman" w:cs="Times New Roman"/>
        </w:rPr>
        <w:t>Karl Marx and the Withering away of Social Science’</w:t>
      </w:r>
      <w:r w:rsidRPr="00357FF6">
        <w:rPr>
          <w:rFonts w:ascii="Times New Roman" w:hAnsi="Times New Roman" w:cs="Times New Roman"/>
          <w:i/>
        </w:rPr>
        <w:t>, Philosophy and Public Affairs</w:t>
      </w:r>
      <w:r>
        <w:rPr>
          <w:rFonts w:ascii="Helvetica" w:hAnsi="Helvetica" w:cs="Helvetica"/>
        </w:rPr>
        <w:t xml:space="preserve"> </w:t>
      </w:r>
      <w:r>
        <w:rPr>
          <w:rFonts w:ascii="Times New Roman" w:hAnsi="Times New Roman" w:cs="Times New Roman"/>
        </w:rPr>
        <w:t xml:space="preserve">(1972), 182-203, G.A. Cohen, ‘Marx’s Dialectic of Labour’, </w:t>
      </w:r>
      <w:r w:rsidRPr="00357FF6">
        <w:rPr>
          <w:rFonts w:ascii="Times New Roman" w:hAnsi="Times New Roman" w:cs="Times New Roman"/>
          <w:i/>
        </w:rPr>
        <w:t>Philosophy and Public Affairs</w:t>
      </w:r>
      <w:r>
        <w:rPr>
          <w:rFonts w:ascii="Times New Roman" w:hAnsi="Times New Roman" w:cs="Times New Roman"/>
        </w:rPr>
        <w:t xml:space="preserve"> (1974) 235-61, and G.A. Cohen, ‘Being, Consciousness and Roles’, in C. Abramsky (ed.), Essays in Honour of E. H. </w:t>
      </w:r>
    </w:p>
    <w:p w:rsidR="00F1285C" w:rsidRDefault="00F1285C" w:rsidP="00357FF6">
      <w:pPr>
        <w:pStyle w:val="FootnoteText"/>
      </w:pPr>
      <w:r>
        <w:rPr>
          <w:rFonts w:ascii="Times New Roman" w:hAnsi="Times New Roman" w:cs="Times New Roman"/>
        </w:rPr>
        <w:t>Carr.  (London: MacMillan, 1974).</w:t>
      </w:r>
    </w:p>
  </w:footnote>
  <w:footnote w:id="9">
    <w:p w:rsidR="00F1285C" w:rsidRDefault="00F1285C">
      <w:pPr>
        <w:pStyle w:val="FootnoteText"/>
      </w:pPr>
      <w:r>
        <w:rPr>
          <w:rStyle w:val="FootnoteReference"/>
        </w:rPr>
        <w:footnoteRef/>
      </w:r>
      <w:r>
        <w:t xml:space="preserve"> Robert Nozick, </w:t>
      </w:r>
      <w:r w:rsidRPr="00D95685">
        <w:rPr>
          <w:i/>
        </w:rPr>
        <w:t>Anarchy, State, and Utopia</w:t>
      </w:r>
      <w:r>
        <w:t xml:space="preserve"> (New York: Basic Books, 1974).</w:t>
      </w:r>
    </w:p>
  </w:footnote>
  <w:footnote w:id="10">
    <w:p w:rsidR="00F1285C" w:rsidRDefault="00F1285C">
      <w:pPr>
        <w:pStyle w:val="FootnoteText"/>
      </w:pPr>
      <w:r>
        <w:rPr>
          <w:rStyle w:val="FootnoteReference"/>
        </w:rPr>
        <w:footnoteRef/>
      </w:r>
      <w:r>
        <w:t xml:space="preserve"> G.A. Cohen, </w:t>
      </w:r>
      <w:r w:rsidRPr="00D95685">
        <w:rPr>
          <w:i/>
        </w:rPr>
        <w:t>Self-Ownership, Freedom and Equality</w:t>
      </w:r>
      <w:r>
        <w:t xml:space="preserve"> (Cambridge: Cambridge University Press, 1995), p.4.</w:t>
      </w:r>
    </w:p>
  </w:footnote>
  <w:footnote w:id="11">
    <w:p w:rsidR="00F1285C" w:rsidRDefault="00F1285C">
      <w:pPr>
        <w:pStyle w:val="FootnoteText"/>
      </w:pPr>
      <w:r>
        <w:rPr>
          <w:rStyle w:val="FootnoteReference"/>
        </w:rPr>
        <w:footnoteRef/>
      </w:r>
      <w:r>
        <w:t xml:space="preserve"> </w:t>
      </w:r>
      <w:r w:rsidRPr="00FD5E85">
        <w:rPr>
          <w:i/>
        </w:rPr>
        <w:t>Self-Ownership, Freedom and Equality</w:t>
      </w:r>
      <w:r>
        <w:t>, pp. 144-164.</w:t>
      </w:r>
    </w:p>
  </w:footnote>
  <w:footnote w:id="12">
    <w:p w:rsidR="00F1285C" w:rsidRPr="009C18BE" w:rsidRDefault="00F1285C" w:rsidP="009C18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Pr>
          <w:rStyle w:val="FootnoteReference"/>
        </w:rPr>
        <w:footnoteRef/>
      </w:r>
      <w:r>
        <w:t xml:space="preserve"> G.A. Cohen “</w:t>
      </w:r>
      <w:r>
        <w:rPr>
          <w:rFonts w:ascii="Times New Roman" w:hAnsi="Times New Roman" w:cs="Times New Roman"/>
        </w:rPr>
        <w:t xml:space="preserve">Robert Nozick and Wilt Chamberlain: How Patterns Preserve Liberty”,  </w:t>
      </w:r>
      <w:r w:rsidRPr="009C18BE">
        <w:rPr>
          <w:rFonts w:ascii="Times New Roman" w:hAnsi="Times New Roman" w:cs="Times New Roman"/>
          <w:i/>
        </w:rPr>
        <w:t>Erkenntnis</w:t>
      </w:r>
      <w:r>
        <w:rPr>
          <w:rFonts w:ascii="Times New Roman" w:hAnsi="Times New Roman" w:cs="Times New Roman"/>
        </w:rPr>
        <w:t xml:space="preserve"> 11 1977), 5-23.</w:t>
      </w:r>
    </w:p>
  </w:footnote>
  <w:footnote w:id="13">
    <w:p w:rsidR="00F1285C" w:rsidRPr="009C18BE" w:rsidRDefault="00F1285C" w:rsidP="000E5C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Pr>
          <w:rStyle w:val="FootnoteReference"/>
        </w:rPr>
        <w:footnoteRef/>
      </w:r>
      <w:r>
        <w:t xml:space="preserve"> G.A. Cohen, “</w:t>
      </w:r>
      <w:r>
        <w:rPr>
          <w:rFonts w:ascii="Times New Roman" w:hAnsi="Times New Roman" w:cs="Times New Roman"/>
        </w:rPr>
        <w:t xml:space="preserve">The Labour Theory of Value and the Concept of Exploitation”, </w:t>
      </w:r>
      <w:r w:rsidRPr="009C18BE">
        <w:rPr>
          <w:rFonts w:ascii="Times New Roman" w:hAnsi="Times New Roman" w:cs="Times New Roman"/>
          <w:i/>
        </w:rPr>
        <w:t>Philosophy and Public Affairs</w:t>
      </w:r>
      <w:r>
        <w:rPr>
          <w:rFonts w:ascii="Times New Roman" w:hAnsi="Times New Roman" w:cs="Times New Roman"/>
        </w:rPr>
        <w:t xml:space="preserve"> viii (1979), 338-60.</w:t>
      </w:r>
    </w:p>
  </w:footnote>
  <w:footnote w:id="14">
    <w:p w:rsidR="00F1285C" w:rsidRDefault="00F1285C">
      <w:pPr>
        <w:pStyle w:val="FootnoteText"/>
      </w:pPr>
      <w:r>
        <w:rPr>
          <w:rStyle w:val="FootnoteReference"/>
        </w:rPr>
        <w:footnoteRef/>
      </w:r>
      <w:r>
        <w:t xml:space="preserve"> </w:t>
      </w:r>
      <w:r w:rsidRPr="00D559D2">
        <w:rPr>
          <w:i/>
        </w:rPr>
        <w:t>Karl Marx’s Theory of History</w:t>
      </w:r>
      <w:r>
        <w:t>, extended edition, p. xxi.</w:t>
      </w:r>
    </w:p>
  </w:footnote>
  <w:footnote w:id="15">
    <w:p w:rsidR="00F1285C" w:rsidRDefault="00F1285C">
      <w:pPr>
        <w:pStyle w:val="FootnoteText"/>
      </w:pPr>
      <w:r>
        <w:rPr>
          <w:rStyle w:val="FootnoteReference"/>
        </w:rPr>
        <w:footnoteRef/>
      </w:r>
      <w:r>
        <w:t xml:space="preserve"> </w:t>
      </w:r>
      <w:r w:rsidRPr="004A06C7">
        <w:rPr>
          <w:i/>
        </w:rPr>
        <w:t>History, Labour and Freedom</w:t>
      </w:r>
      <w:r>
        <w:t>, p. 16.</w:t>
      </w:r>
    </w:p>
  </w:footnote>
  <w:footnote w:id="16">
    <w:p w:rsidR="00F1285C" w:rsidRDefault="00F1285C">
      <w:pPr>
        <w:pStyle w:val="FootnoteText"/>
      </w:pPr>
      <w:r>
        <w:rPr>
          <w:rStyle w:val="FootnoteReference"/>
        </w:rPr>
        <w:footnoteRef/>
      </w:r>
      <w:r>
        <w:t xml:space="preserve"> Jon Elster ‘Cohen on Marx’s Theory of History’ </w:t>
      </w:r>
      <w:r w:rsidRPr="00913497">
        <w:rPr>
          <w:i/>
        </w:rPr>
        <w:t>Political Studies</w:t>
      </w:r>
      <w:r>
        <w:t xml:space="preserve"> 1980, pp. 121-128, Jon Elster, </w:t>
      </w:r>
      <w:r w:rsidRPr="00CE2DB7">
        <w:rPr>
          <w:i/>
        </w:rPr>
        <w:t>Making Sense of Marx</w:t>
      </w:r>
      <w:r>
        <w:t xml:space="preserve"> (Cambridge: Cambridge University Press, 1985).</w:t>
      </w:r>
    </w:p>
  </w:footnote>
  <w:footnote w:id="17">
    <w:p w:rsidR="00F1285C" w:rsidRDefault="00F1285C">
      <w:pPr>
        <w:pStyle w:val="FootnoteText"/>
      </w:pPr>
      <w:r>
        <w:rPr>
          <w:rStyle w:val="FootnoteReference"/>
        </w:rPr>
        <w:footnoteRef/>
      </w:r>
      <w:r>
        <w:t xml:space="preserve"> A. Levine and E. Wright ‘Rationality and Class Struggle’, </w:t>
      </w:r>
      <w:r w:rsidRPr="00913497">
        <w:rPr>
          <w:i/>
        </w:rPr>
        <w:t>New Left Review</w:t>
      </w:r>
      <w:r>
        <w:t xml:space="preserve"> 123 (1980).</w:t>
      </w:r>
    </w:p>
  </w:footnote>
  <w:footnote w:id="18">
    <w:p w:rsidR="00F1285C" w:rsidRDefault="00F1285C">
      <w:pPr>
        <w:pStyle w:val="FootnoteText"/>
      </w:pPr>
      <w:r>
        <w:rPr>
          <w:rStyle w:val="FootnoteReference"/>
        </w:rPr>
        <w:footnoteRef/>
      </w:r>
      <w:r>
        <w:t xml:space="preserve"> Joshua Cohen ‘Book Review: Karl Marx’s Theory of History’, </w:t>
      </w:r>
      <w:r w:rsidRPr="00913497">
        <w:rPr>
          <w:i/>
        </w:rPr>
        <w:t>Journal of Philosophy</w:t>
      </w:r>
      <w:r>
        <w:t xml:space="preserve"> </w:t>
      </w:r>
      <w:r w:rsidRPr="00913497">
        <w:rPr>
          <w:b/>
        </w:rPr>
        <w:t>79</w:t>
      </w:r>
      <w:r>
        <w:t xml:space="preserve"> 1982, pp. 253-73.</w:t>
      </w:r>
    </w:p>
  </w:footnote>
  <w:footnote w:id="19">
    <w:p w:rsidR="00F1285C" w:rsidRDefault="00F1285C">
      <w:pPr>
        <w:pStyle w:val="FootnoteText"/>
      </w:pPr>
      <w:r>
        <w:rPr>
          <w:rStyle w:val="FootnoteReference"/>
        </w:rPr>
        <w:footnoteRef/>
      </w:r>
      <w:r>
        <w:t xml:space="preserve"> Richard Miller, ‘Productive Forces and the Forces of Change: Review of Karl Marx’s Theory of History’, </w:t>
      </w:r>
      <w:r w:rsidRPr="00913497">
        <w:rPr>
          <w:i/>
        </w:rPr>
        <w:t>The Philosophical Review</w:t>
      </w:r>
      <w:r>
        <w:t xml:space="preserve"> 90 1981 pp. 91-117.</w:t>
      </w:r>
    </w:p>
  </w:footnote>
  <w:footnote w:id="20">
    <w:p w:rsidR="00F1285C" w:rsidRDefault="00F1285C">
      <w:pPr>
        <w:pStyle w:val="FootnoteText"/>
      </w:pPr>
      <w:r>
        <w:rPr>
          <w:rStyle w:val="FootnoteReference"/>
        </w:rPr>
        <w:footnoteRef/>
      </w:r>
      <w:r>
        <w:t xml:space="preserve"> G.A. Cohen, ‘Functional Explanation: Reply to Elster’, </w:t>
      </w:r>
      <w:r w:rsidRPr="00D900D8">
        <w:rPr>
          <w:i/>
        </w:rPr>
        <w:t>Political Studies</w:t>
      </w:r>
      <w:r>
        <w:t xml:space="preserve"> 1980, p. 129-135.</w:t>
      </w:r>
    </w:p>
  </w:footnote>
  <w:footnote w:id="21">
    <w:p w:rsidR="00F1285C" w:rsidRDefault="00F1285C">
      <w:pPr>
        <w:pStyle w:val="FootnoteText"/>
      </w:pPr>
      <w:r>
        <w:rPr>
          <w:rStyle w:val="FootnoteReference"/>
        </w:rPr>
        <w:footnoteRef/>
      </w:r>
      <w:r>
        <w:t xml:space="preserve"> G.A. Cohen and W. Kymlicka, ‘Human Nature and Social Change in the Marxist Conception of History’, </w:t>
      </w:r>
      <w:r w:rsidRPr="00D900D8">
        <w:rPr>
          <w:i/>
        </w:rPr>
        <w:t>Journal of Philosophy</w:t>
      </w:r>
      <w:r>
        <w:t xml:space="preserve"> </w:t>
      </w:r>
      <w:r w:rsidRPr="00D900D8">
        <w:rPr>
          <w:b/>
        </w:rPr>
        <w:t>85</w:t>
      </w:r>
      <w:r>
        <w:t xml:space="preserve"> 1988 pp. 171-91, reprinted in </w:t>
      </w:r>
      <w:r w:rsidRPr="00D900D8">
        <w:rPr>
          <w:i/>
        </w:rPr>
        <w:t>History, Labour and Freedom</w:t>
      </w:r>
      <w:r>
        <w:t>.</w:t>
      </w:r>
    </w:p>
  </w:footnote>
  <w:footnote w:id="22">
    <w:p w:rsidR="00F1285C" w:rsidRDefault="00F1285C">
      <w:pPr>
        <w:pStyle w:val="FootnoteText"/>
      </w:pPr>
      <w:r>
        <w:rPr>
          <w:rStyle w:val="FootnoteReference"/>
        </w:rPr>
        <w:footnoteRef/>
      </w:r>
      <w:r>
        <w:t xml:space="preserve"> </w:t>
      </w:r>
      <w:r w:rsidRPr="0043256D">
        <w:rPr>
          <w:i/>
        </w:rPr>
        <w:t>History, Labour and Freedom</w:t>
      </w:r>
      <w:r>
        <w:t xml:space="preserve">, p. 132, </w:t>
      </w:r>
      <w:r w:rsidRPr="0043256D">
        <w:rPr>
          <w:i/>
        </w:rPr>
        <w:t>Karl Marx’s Theory of History</w:t>
      </w:r>
      <w:r>
        <w:t xml:space="preserve"> Expanded Edition, p. 341.</w:t>
      </w:r>
    </w:p>
  </w:footnote>
  <w:footnote w:id="23">
    <w:p w:rsidR="00F1285C" w:rsidRDefault="00F1285C">
      <w:pPr>
        <w:pStyle w:val="FootnoteText"/>
      </w:pPr>
      <w:r>
        <w:rPr>
          <w:rStyle w:val="FootnoteReference"/>
        </w:rPr>
        <w:footnoteRef/>
      </w:r>
      <w:r>
        <w:t xml:space="preserve"> </w:t>
      </w:r>
      <w:r w:rsidRPr="0043256D">
        <w:rPr>
          <w:i/>
        </w:rPr>
        <w:t>Self-Ownership, Freedom and Equality</w:t>
      </w:r>
      <w:r>
        <w:t>, p. 7.</w:t>
      </w:r>
    </w:p>
  </w:footnote>
  <w:footnote w:id="24">
    <w:p w:rsidR="00F1285C" w:rsidRDefault="00F1285C">
      <w:pPr>
        <w:pStyle w:val="FootnoteText"/>
      </w:pPr>
      <w:r>
        <w:rPr>
          <w:rStyle w:val="FootnoteReference"/>
        </w:rPr>
        <w:footnoteRef/>
      </w:r>
      <w:r>
        <w:t xml:space="preserve"> History, Labour and Freedom p. 247.</w:t>
      </w:r>
    </w:p>
  </w:footnote>
  <w:footnote w:id="25">
    <w:p w:rsidR="00F1285C" w:rsidRDefault="00F1285C">
      <w:pPr>
        <w:pStyle w:val="FootnoteText"/>
      </w:pPr>
      <w:r>
        <w:rPr>
          <w:rStyle w:val="FootnoteReference"/>
        </w:rPr>
        <w:footnoteRef/>
      </w:r>
      <w:r>
        <w:t xml:space="preserve"> History, Labour and Freedom, p. 239-304.</w:t>
      </w:r>
    </w:p>
  </w:footnote>
  <w:footnote w:id="26">
    <w:p w:rsidR="00F1285C" w:rsidRDefault="00F1285C">
      <w:pPr>
        <w:pStyle w:val="FootnoteText"/>
      </w:pPr>
      <w:r>
        <w:rPr>
          <w:rStyle w:val="FootnoteReference"/>
        </w:rPr>
        <w:footnoteRef/>
      </w:r>
      <w:r>
        <w:t xml:space="preserve"> Self-Ownership, Freedom and Equality, p. 12.</w:t>
      </w:r>
    </w:p>
  </w:footnote>
  <w:footnote w:id="27">
    <w:p w:rsidR="00F1285C" w:rsidRDefault="00F1285C">
      <w:pPr>
        <w:pStyle w:val="FootnoteText"/>
      </w:pPr>
      <w:r>
        <w:rPr>
          <w:rStyle w:val="FootnoteReference"/>
        </w:rPr>
        <w:footnoteRef/>
      </w:r>
      <w:r>
        <w:t xml:space="preserve"> </w:t>
      </w:r>
      <w:r w:rsidRPr="000D3AC8">
        <w:rPr>
          <w:i/>
        </w:rPr>
        <w:t>Self-Ownership, Freedom and Equality</w:t>
      </w:r>
      <w:r>
        <w:t>, pp. 67-91.</w:t>
      </w:r>
    </w:p>
  </w:footnote>
  <w:footnote w:id="28">
    <w:p w:rsidR="00F1285C" w:rsidRDefault="00F1285C">
      <w:pPr>
        <w:pStyle w:val="FootnoteText"/>
      </w:pPr>
      <w:r>
        <w:rPr>
          <w:rStyle w:val="FootnoteReference"/>
        </w:rPr>
        <w:footnoteRef/>
      </w:r>
      <w:r>
        <w:t xml:space="preserve"> </w:t>
      </w:r>
      <w:r w:rsidRPr="000D3AC8">
        <w:rPr>
          <w:i/>
        </w:rPr>
        <w:t>Self-Ownership, Freedom and Equality</w:t>
      </w:r>
      <w:r>
        <w:t>, pp. 92-115.</w:t>
      </w:r>
    </w:p>
  </w:footnote>
  <w:footnote w:id="29">
    <w:p w:rsidR="00F1285C" w:rsidRDefault="00F1285C">
      <w:pPr>
        <w:pStyle w:val="FootnoteText"/>
      </w:pPr>
      <w:r>
        <w:rPr>
          <w:rStyle w:val="FootnoteReference"/>
        </w:rPr>
        <w:footnoteRef/>
      </w:r>
      <w:r>
        <w:t xml:space="preserve"> Self-Ownership, Freedom and Equality, pp. 209-244.</w:t>
      </w:r>
    </w:p>
  </w:footnote>
  <w:footnote w:id="30">
    <w:p w:rsidR="00F1285C" w:rsidRDefault="00F1285C">
      <w:pPr>
        <w:pStyle w:val="FootnoteText"/>
      </w:pPr>
      <w:r>
        <w:rPr>
          <w:rStyle w:val="FootnoteReference"/>
        </w:rPr>
        <w:footnoteRef/>
      </w:r>
      <w:r>
        <w:t xml:space="preserve"> G.A. Cohen ‘How to Do Political Philosophy’ in </w:t>
      </w:r>
      <w:r w:rsidRPr="005E48E2">
        <w:rPr>
          <w:i/>
        </w:rPr>
        <w:t>On The Currency of Egalitarian Justice, and Other Essays</w:t>
      </w:r>
      <w:r>
        <w:t xml:space="preserve"> ed. Michael Otsuka (Princeton N.J.: Princeton University Press, 2011), pp. 225-235.</w:t>
      </w:r>
    </w:p>
  </w:footnote>
  <w:footnote w:id="31">
    <w:p w:rsidR="00F1285C" w:rsidRDefault="00F1285C">
      <w:pPr>
        <w:pStyle w:val="FootnoteText"/>
      </w:pPr>
      <w:r>
        <w:rPr>
          <w:rStyle w:val="FootnoteReference"/>
        </w:rPr>
        <w:footnoteRef/>
      </w:r>
      <w:r>
        <w:t xml:space="preserve"> Ronald Dworkin, ‘What is Equality? Part 1, Equality of Welfare’, </w:t>
      </w:r>
      <w:r w:rsidRPr="00F42C0A">
        <w:rPr>
          <w:i/>
        </w:rPr>
        <w:t>Philosophy and Public Affairs</w:t>
      </w:r>
      <w:r>
        <w:t xml:space="preserve"> 10, 1981, What is Equality? Part 2, Equality of Resources, </w:t>
      </w:r>
      <w:r w:rsidRPr="00F42C0A">
        <w:rPr>
          <w:i/>
        </w:rPr>
        <w:t>Philosophy and Public Affairs</w:t>
      </w:r>
      <w:r>
        <w:t xml:space="preserve"> 10, 1981</w:t>
      </w:r>
    </w:p>
  </w:footnote>
  <w:footnote w:id="32">
    <w:p w:rsidR="00F1285C" w:rsidRDefault="00F1285C">
      <w:pPr>
        <w:pStyle w:val="FootnoteText"/>
      </w:pPr>
      <w:r>
        <w:rPr>
          <w:rStyle w:val="FootnoteReference"/>
        </w:rPr>
        <w:footnoteRef/>
      </w:r>
      <w:r>
        <w:t xml:space="preserve"> G.A. Cohen ‘On The Currency of Egalitarian Justice’, </w:t>
      </w:r>
      <w:r w:rsidRPr="00282926">
        <w:rPr>
          <w:i/>
        </w:rPr>
        <w:t>Ethics</w:t>
      </w:r>
      <w:r>
        <w:t xml:space="preserve"> 99 1989, pp. 906-944, reprinted in On The Currency of Egalitarian Justice and Other Essays, pp. 3-43.</w:t>
      </w:r>
    </w:p>
  </w:footnote>
  <w:footnote w:id="33">
    <w:p w:rsidR="00F1285C" w:rsidRDefault="00F1285C" w:rsidP="002829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Pr>
          <w:rStyle w:val="FootnoteReference"/>
        </w:rPr>
        <w:footnoteRef/>
      </w:r>
      <w:r>
        <w:t xml:space="preserve">  G.A. Cohen, ‘</w:t>
      </w:r>
      <w:r>
        <w:rPr>
          <w:rFonts w:ascii="Times New Roman" w:hAnsi="Times New Roman" w:cs="Times New Roman"/>
        </w:rPr>
        <w:t xml:space="preserve">Equality of What?  On Welfare, Goods and Capabilities’, </w:t>
      </w:r>
      <w:r w:rsidRPr="00282926">
        <w:rPr>
          <w:rFonts w:ascii="Times New Roman" w:hAnsi="Times New Roman" w:cs="Times New Roman"/>
          <w:i/>
        </w:rPr>
        <w:t>Recherches Economiques de Louvain</w:t>
      </w:r>
      <w:r>
        <w:rPr>
          <w:rFonts w:ascii="Times New Roman" w:hAnsi="Times New Roman" w:cs="Times New Roman"/>
        </w:rPr>
        <w:t xml:space="preserve">, </w:t>
      </w:r>
      <w:r w:rsidRPr="00282926">
        <w:rPr>
          <w:rFonts w:ascii="Times New Roman" w:hAnsi="Times New Roman" w:cs="Times New Roman"/>
          <w:b/>
        </w:rPr>
        <w:t>56</w:t>
      </w:r>
      <w:r>
        <w:rPr>
          <w:rFonts w:ascii="Times New Roman" w:hAnsi="Times New Roman" w:cs="Times New Roman"/>
        </w:rPr>
        <w:t xml:space="preserve">, 1990, 357-382, and in M. Nussbaum and A. Sen </w:t>
      </w:r>
    </w:p>
    <w:p w:rsidR="00F1285C" w:rsidRDefault="00F1285C" w:rsidP="00282926">
      <w:pPr>
        <w:pStyle w:val="FootnoteText"/>
      </w:pPr>
      <w:r>
        <w:rPr>
          <w:rFonts w:ascii="Times New Roman" w:hAnsi="Times New Roman" w:cs="Times New Roman"/>
        </w:rPr>
        <w:t xml:space="preserve">(eds.), The Quality of Life (Oxford: Oxford University Press), 1993, 11-29, reprinted in </w:t>
      </w:r>
      <w:r w:rsidRPr="005E48E2">
        <w:rPr>
          <w:rFonts w:ascii="Times New Roman" w:hAnsi="Times New Roman" w:cs="Times New Roman"/>
          <w:i/>
        </w:rPr>
        <w:t>On The Currency of Egalitarian Justice</w:t>
      </w:r>
      <w:r>
        <w:rPr>
          <w:rFonts w:ascii="Times New Roman" w:hAnsi="Times New Roman" w:cs="Times New Roman"/>
        </w:rPr>
        <w:t>, pp. 44-60.</w:t>
      </w:r>
    </w:p>
  </w:footnote>
  <w:footnote w:id="34">
    <w:p w:rsidR="00F1285C" w:rsidRDefault="00F1285C">
      <w:pPr>
        <w:pStyle w:val="FootnoteText"/>
      </w:pPr>
      <w:r>
        <w:rPr>
          <w:rStyle w:val="FootnoteReference"/>
        </w:rPr>
        <w:footnoteRef/>
      </w:r>
      <w:r>
        <w:t xml:space="preserve"> Richard Arneson, ‘Equality and Equal Opportunity for Welfare’, </w:t>
      </w:r>
      <w:r w:rsidRPr="005E48E2">
        <w:rPr>
          <w:i/>
        </w:rPr>
        <w:t>Philosophical Studies</w:t>
      </w:r>
      <w:r>
        <w:t xml:space="preserve">, </w:t>
      </w:r>
      <w:r w:rsidRPr="00283F5E">
        <w:rPr>
          <w:b/>
        </w:rPr>
        <w:t>55</w:t>
      </w:r>
      <w:r>
        <w:t xml:space="preserve"> 1989.</w:t>
      </w:r>
    </w:p>
  </w:footnote>
  <w:footnote w:id="35">
    <w:p w:rsidR="00F1285C" w:rsidRDefault="00F1285C" w:rsidP="00DF3D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Pr>
          <w:rStyle w:val="FootnoteReference"/>
        </w:rPr>
        <w:footnoteRef/>
      </w:r>
      <w:r>
        <w:t xml:space="preserve"> G.A. Cohen, ‘</w:t>
      </w:r>
      <w:r>
        <w:rPr>
          <w:rFonts w:ascii="Times New Roman" w:hAnsi="Times New Roman" w:cs="Times New Roman"/>
        </w:rPr>
        <w:t xml:space="preserve">Expensive Tastes and Multiculturalism’, in R. Bhargava, A. K. Bagchi and R. Sudarshan (eds.), </w:t>
      </w:r>
      <w:r w:rsidRPr="00DF3D4E">
        <w:rPr>
          <w:rFonts w:ascii="Times New Roman" w:hAnsi="Times New Roman" w:cs="Times New Roman"/>
          <w:i/>
        </w:rPr>
        <w:t>Multiculturalism, Liberalism and Democracy</w:t>
      </w:r>
      <w:r>
        <w:rPr>
          <w:rFonts w:ascii="Times New Roman" w:hAnsi="Times New Roman" w:cs="Times New Roman"/>
        </w:rPr>
        <w:t xml:space="preserve">, New Delhi, 1999, 80-100, </w:t>
      </w:r>
      <w:r>
        <w:t xml:space="preserve">R. Dworkin, </w:t>
      </w:r>
      <w:r w:rsidRPr="00DF3D4E">
        <w:rPr>
          <w:i/>
        </w:rPr>
        <w:t>Sovereign Virtue</w:t>
      </w:r>
      <w:r>
        <w:t xml:space="preserve"> (Cambridge, Ma.: Harvard University Press, 2000), </w:t>
      </w:r>
      <w:r>
        <w:rPr>
          <w:rFonts w:ascii="Times New Roman" w:hAnsi="Times New Roman" w:cs="Times New Roman"/>
        </w:rPr>
        <w:t xml:space="preserve">G.A. Cohen ‘Expensive Tastes Rides Again’ in J. Burley (ed.), </w:t>
      </w:r>
      <w:r w:rsidRPr="00DF3D4E">
        <w:rPr>
          <w:rFonts w:ascii="Times New Roman" w:hAnsi="Times New Roman" w:cs="Times New Roman"/>
          <w:i/>
        </w:rPr>
        <w:t>Dworkin and his Critics</w:t>
      </w:r>
      <w:r>
        <w:rPr>
          <w:rFonts w:ascii="Times New Roman" w:hAnsi="Times New Roman" w:cs="Times New Roman"/>
        </w:rPr>
        <w:t>, (Oxford: Blackwell,</w:t>
      </w:r>
      <w:r>
        <w:rPr>
          <w:rFonts w:ascii="Helvetica" w:hAnsi="Helvetica" w:cs="Helvetica"/>
        </w:rPr>
        <w:t xml:space="preserve"> </w:t>
      </w:r>
      <w:r>
        <w:rPr>
          <w:rFonts w:ascii="Times New Roman" w:hAnsi="Times New Roman" w:cs="Times New Roman"/>
        </w:rPr>
        <w:t xml:space="preserve">2004) 3-29, reprinted in </w:t>
      </w:r>
      <w:r w:rsidRPr="005E48E2">
        <w:rPr>
          <w:rFonts w:ascii="Times New Roman" w:hAnsi="Times New Roman" w:cs="Times New Roman"/>
          <w:i/>
        </w:rPr>
        <w:t>On the Currency of Egalitarian Justice</w:t>
      </w:r>
      <w:r>
        <w:rPr>
          <w:rFonts w:ascii="Times New Roman" w:hAnsi="Times New Roman" w:cs="Times New Roman"/>
        </w:rPr>
        <w:t xml:space="preserve">, 81-115. R. Dworkin, ‘Replies’ in </w:t>
      </w:r>
      <w:r w:rsidRPr="00DF3D4E">
        <w:rPr>
          <w:rFonts w:ascii="Times New Roman" w:hAnsi="Times New Roman" w:cs="Times New Roman"/>
          <w:i/>
        </w:rPr>
        <w:t>Dworkin and his Critics</w:t>
      </w:r>
      <w:r>
        <w:rPr>
          <w:rFonts w:ascii="Times New Roman" w:hAnsi="Times New Roman" w:cs="Times New Roman"/>
        </w:rPr>
        <w:t>.</w:t>
      </w:r>
    </w:p>
    <w:p w:rsidR="00F1285C" w:rsidRDefault="00F1285C" w:rsidP="00DF3D4E">
      <w:pPr>
        <w:pStyle w:val="FootnoteText"/>
      </w:pPr>
    </w:p>
  </w:footnote>
  <w:footnote w:id="36">
    <w:p w:rsidR="00F1285C" w:rsidRDefault="00F1285C">
      <w:pPr>
        <w:pStyle w:val="FootnoteText"/>
      </w:pPr>
      <w:r>
        <w:rPr>
          <w:rStyle w:val="FootnoteReference"/>
        </w:rPr>
        <w:footnoteRef/>
      </w:r>
      <w:r>
        <w:t xml:space="preserve"> Elizabeth Anderson, ‘What is the Point of Equality?’ </w:t>
      </w:r>
      <w:r w:rsidRPr="00632904">
        <w:rPr>
          <w:i/>
        </w:rPr>
        <w:t xml:space="preserve">Ethics </w:t>
      </w:r>
      <w:r w:rsidRPr="001D297B">
        <w:t>109</w:t>
      </w:r>
      <w:r>
        <w:t xml:space="preserve"> 1999, pp. 287-337.</w:t>
      </w:r>
    </w:p>
    <w:p w:rsidR="00F1285C" w:rsidRDefault="00F1285C">
      <w:pPr>
        <w:pStyle w:val="FootnoteText"/>
      </w:pPr>
    </w:p>
  </w:footnote>
  <w:footnote w:id="37">
    <w:p w:rsidR="00F1285C" w:rsidRDefault="00F1285C">
      <w:pPr>
        <w:pStyle w:val="FootnoteText"/>
      </w:pPr>
      <w:r>
        <w:rPr>
          <w:rStyle w:val="FootnoteReference"/>
        </w:rPr>
        <w:footnoteRef/>
      </w:r>
      <w:r>
        <w:t xml:space="preserve"> G.A. Cohen, </w:t>
      </w:r>
      <w:r w:rsidRPr="00632904">
        <w:rPr>
          <w:i/>
        </w:rPr>
        <w:t>Rescuing Justice and Equality</w:t>
      </w:r>
      <w:r>
        <w:t xml:space="preserve">  (Cambridge Ma.: Harvard University Press, 2008), p. 271.</w:t>
      </w:r>
    </w:p>
  </w:footnote>
  <w:footnote w:id="38">
    <w:p w:rsidR="00F1285C" w:rsidRPr="00C43B9A" w:rsidRDefault="00F1285C" w:rsidP="00C43B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Pr>
          <w:rStyle w:val="FootnoteReference"/>
        </w:rPr>
        <w:footnoteRef/>
      </w:r>
      <w:r>
        <w:t xml:space="preserve"> G.A. Cohen, ‘</w:t>
      </w:r>
      <w:r>
        <w:rPr>
          <w:rFonts w:ascii="Times New Roman" w:hAnsi="Times New Roman" w:cs="Times New Roman"/>
        </w:rPr>
        <w:t xml:space="preserve">Incentives, Inequality, and Community’, in Grethe B. Peterson (ed.), </w:t>
      </w:r>
      <w:r w:rsidRPr="00C43B9A">
        <w:rPr>
          <w:rFonts w:ascii="Times New Roman" w:hAnsi="Times New Roman" w:cs="Times New Roman"/>
          <w:i/>
        </w:rPr>
        <w:t>The Tanner Lectures on Human Values</w:t>
      </w:r>
      <w:r>
        <w:rPr>
          <w:rFonts w:ascii="Times New Roman" w:hAnsi="Times New Roman" w:cs="Times New Roman"/>
        </w:rPr>
        <w:t xml:space="preserve">, 13, (Salt Lake City: University of Utah Press, 1992, 261-329. </w:t>
      </w:r>
    </w:p>
  </w:footnote>
  <w:footnote w:id="39">
    <w:p w:rsidR="00F1285C" w:rsidRPr="00023E69" w:rsidRDefault="00F1285C" w:rsidP="00023E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rPr>
      </w:pPr>
      <w:r>
        <w:rPr>
          <w:rStyle w:val="FootnoteReference"/>
        </w:rPr>
        <w:footnoteRef/>
      </w:r>
      <w:r>
        <w:t xml:space="preserve"> G.A. Cohen, ‘</w:t>
      </w:r>
      <w:r>
        <w:rPr>
          <w:rFonts w:ascii="Times New Roman" w:hAnsi="Times New Roman" w:cs="Times New Roman"/>
        </w:rPr>
        <w:t xml:space="preserve">The Pareto Argument for Inequality’, </w:t>
      </w:r>
      <w:r w:rsidRPr="00023E69">
        <w:rPr>
          <w:rFonts w:ascii="Times New Roman" w:hAnsi="Times New Roman" w:cs="Times New Roman"/>
          <w:i/>
        </w:rPr>
        <w:t>Social Philosophy and Policy</w:t>
      </w:r>
      <w:r>
        <w:rPr>
          <w:rFonts w:ascii="Times New Roman" w:hAnsi="Times New Roman" w:cs="Times New Roman"/>
        </w:rPr>
        <w:t>, 12 (1995), 160-</w:t>
      </w:r>
      <w:r>
        <w:rPr>
          <w:rFonts w:ascii="Helvetica" w:hAnsi="Helvetica" w:cs="Helvetica"/>
        </w:rPr>
        <w:t xml:space="preserve"> </w:t>
      </w:r>
      <w:r>
        <w:rPr>
          <w:rFonts w:ascii="Times New Roman" w:hAnsi="Times New Roman" w:cs="Times New Roman"/>
        </w:rPr>
        <w:t>85.</w:t>
      </w:r>
    </w:p>
  </w:footnote>
  <w:footnote w:id="40">
    <w:p w:rsidR="00F1285C" w:rsidRPr="00023E69" w:rsidRDefault="00F1285C" w:rsidP="00023E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Helvetica" w:hAnsi="Helvetica" w:cs="Helvetica"/>
          <w:i/>
        </w:rPr>
      </w:pPr>
      <w:r>
        <w:rPr>
          <w:rStyle w:val="FootnoteReference"/>
        </w:rPr>
        <w:footnoteRef/>
      </w:r>
      <w:r>
        <w:t xml:space="preserve"> G.A. Cohen, ‘</w:t>
      </w:r>
      <w:r>
        <w:rPr>
          <w:rFonts w:ascii="Times New Roman" w:hAnsi="Times New Roman" w:cs="Times New Roman"/>
        </w:rPr>
        <w:t xml:space="preserve">Where the Action is: On the Site of Distributive Justice’, </w:t>
      </w:r>
      <w:r w:rsidRPr="00023E69">
        <w:rPr>
          <w:rFonts w:ascii="Times New Roman" w:hAnsi="Times New Roman" w:cs="Times New Roman"/>
          <w:i/>
        </w:rPr>
        <w:t>Philosophy and Public Affairs</w:t>
      </w:r>
      <w:r>
        <w:rPr>
          <w:rFonts w:ascii="Times New Roman" w:hAnsi="Times New Roman" w:cs="Times New Roman"/>
        </w:rPr>
        <w:t>, 26 (1997), 3-30.</w:t>
      </w:r>
    </w:p>
  </w:footnote>
  <w:footnote w:id="41">
    <w:p w:rsidR="00F1285C" w:rsidRDefault="00F1285C">
      <w:pPr>
        <w:pStyle w:val="FootnoteText"/>
      </w:pPr>
      <w:r>
        <w:rPr>
          <w:rStyle w:val="FootnoteReference"/>
        </w:rPr>
        <w:footnoteRef/>
      </w:r>
      <w:r>
        <w:t xml:space="preserve"> John Rawls, </w:t>
      </w:r>
      <w:r w:rsidRPr="00A13FF4">
        <w:rPr>
          <w:i/>
        </w:rPr>
        <w:t>A Theory of Justice</w:t>
      </w:r>
      <w:r>
        <w:t xml:space="preserve"> (Oxford: Oxford University Press, 1971, revised edition 1999).</w:t>
      </w:r>
    </w:p>
  </w:footnote>
  <w:footnote w:id="42">
    <w:p w:rsidR="00F1285C" w:rsidRDefault="00F1285C">
      <w:pPr>
        <w:pStyle w:val="FootnoteText"/>
      </w:pPr>
      <w:r>
        <w:rPr>
          <w:rStyle w:val="FootnoteReference"/>
        </w:rPr>
        <w:footnoteRef/>
      </w:r>
      <w:r>
        <w:t xml:space="preserve"> G.A. Cohen, ‘</w:t>
      </w:r>
      <w:r>
        <w:rPr>
          <w:rFonts w:ascii="Times New Roman" w:hAnsi="Times New Roman" w:cs="Times New Roman"/>
        </w:rPr>
        <w:t xml:space="preserve">Facts and Principles’, </w:t>
      </w:r>
      <w:r w:rsidRPr="000360C5">
        <w:rPr>
          <w:rFonts w:ascii="Times New Roman" w:hAnsi="Times New Roman" w:cs="Times New Roman"/>
          <w:i/>
        </w:rPr>
        <w:t>Philosophy and Public Affairs</w:t>
      </w:r>
      <w:r>
        <w:rPr>
          <w:rFonts w:ascii="Times New Roman" w:hAnsi="Times New Roman" w:cs="Times New Roman"/>
        </w:rPr>
        <w:t>, 31 (2003), 211-45</w:t>
      </w:r>
    </w:p>
  </w:footnote>
  <w:footnote w:id="43">
    <w:p w:rsidR="00F1285C" w:rsidRDefault="00F1285C">
      <w:pPr>
        <w:pStyle w:val="FootnoteText"/>
      </w:pPr>
      <w:r>
        <w:rPr>
          <w:rStyle w:val="FootnoteReference"/>
        </w:rPr>
        <w:footnoteRef/>
      </w:r>
      <w:r>
        <w:t xml:space="preserve"> </w:t>
      </w:r>
      <w:r w:rsidRPr="005E48E2">
        <w:rPr>
          <w:i/>
        </w:rPr>
        <w:t>Rescuing Justice and Equality</w:t>
      </w:r>
      <w:r>
        <w:t>, p. 230, 257</w:t>
      </w:r>
    </w:p>
  </w:footnote>
  <w:footnote w:id="44">
    <w:p w:rsidR="00F1285C" w:rsidRDefault="00F1285C">
      <w:pPr>
        <w:pStyle w:val="FootnoteText"/>
      </w:pPr>
      <w:r>
        <w:rPr>
          <w:rStyle w:val="FootnoteReference"/>
        </w:rPr>
        <w:footnoteRef/>
      </w:r>
      <w:r>
        <w:t xml:space="preserve"> </w:t>
      </w:r>
      <w:r w:rsidRPr="005E48E2">
        <w:rPr>
          <w:i/>
        </w:rPr>
        <w:t>Rescuing Justice and Equality</w:t>
      </w:r>
      <w:r>
        <w:t>, pp. 3-6.</w:t>
      </w:r>
    </w:p>
  </w:footnote>
  <w:footnote w:id="45">
    <w:p w:rsidR="00F1285C" w:rsidRDefault="00F1285C">
      <w:pPr>
        <w:pStyle w:val="FootnoteText"/>
      </w:pPr>
      <w:r>
        <w:rPr>
          <w:rStyle w:val="FootnoteReference"/>
        </w:rPr>
        <w:footnoteRef/>
      </w:r>
      <w:r>
        <w:t xml:space="preserve"> G.A. Cohen, </w:t>
      </w:r>
      <w:r w:rsidRPr="00F359D0">
        <w:rPr>
          <w:i/>
        </w:rPr>
        <w:t>Why Not Socialism?</w:t>
      </w:r>
      <w:r>
        <w:t xml:space="preserve"> (Princeton NJ.: Princeton University Press, 2009)</w:t>
      </w:r>
    </w:p>
  </w:footnote>
  <w:footnote w:id="46">
    <w:p w:rsidR="00F1285C" w:rsidRDefault="00F1285C">
      <w:pPr>
        <w:pStyle w:val="FootnoteText"/>
      </w:pPr>
      <w:r>
        <w:rPr>
          <w:rStyle w:val="FootnoteReference"/>
        </w:rPr>
        <w:footnoteRef/>
      </w:r>
      <w:r>
        <w:t xml:space="preserve"> The text of this lecture will appear in one of the forthcoming volumes of Cohen’s work, edited by Michael Otsuka. An enhanced version of the recording will possibly be made available on the internet.</w:t>
      </w:r>
    </w:p>
  </w:footnote>
  <w:footnote w:id="47">
    <w:p w:rsidR="00F1285C" w:rsidRDefault="00F1285C">
      <w:pPr>
        <w:pStyle w:val="FootnoteText"/>
      </w:pPr>
      <w:r>
        <w:rPr>
          <w:rStyle w:val="FootnoteReference"/>
        </w:rPr>
        <w:footnoteRef/>
      </w:r>
      <w:r>
        <w:t xml:space="preserve"> My thanks to Miriam Cohen Christofidis, Veronique Munoz Dard</w:t>
      </w:r>
      <w:r>
        <w:rPr>
          <w:rFonts w:ascii="Cambria" w:hAnsi="Cambria"/>
        </w:rPr>
        <w:t>é</w:t>
      </w:r>
      <w:r>
        <w:t xml:space="preserve">, Michael Otsuka, Michael Rosen, Hillel Steiner, and Arnold Zuboff, for very </w:t>
      </w:r>
      <w:r w:rsidR="00B03A1F">
        <w:t xml:space="preserve">valuable </w:t>
      </w:r>
      <w:r>
        <w:t xml:space="preserve">comments on an earlier version. A few paragraphs of this piece appeared previously in an obituary I published in </w:t>
      </w:r>
      <w:r w:rsidRPr="00FA52C8">
        <w:rPr>
          <w:i/>
        </w:rPr>
        <w:t>The Philosophers’ Magazine</w:t>
      </w:r>
      <w:r>
        <w:t>. I thank the editors for permission to re-use the material.</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34759"/>
    <w:multiLevelType w:val="hybridMultilevel"/>
    <w:tmpl w:val="5DDC3C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B8447D"/>
    <w:rsid w:val="0000331A"/>
    <w:rsid w:val="00023E69"/>
    <w:rsid w:val="000360C5"/>
    <w:rsid w:val="00040967"/>
    <w:rsid w:val="00062060"/>
    <w:rsid w:val="00071BEA"/>
    <w:rsid w:val="000A3D14"/>
    <w:rsid w:val="000D3716"/>
    <w:rsid w:val="000D3AC8"/>
    <w:rsid w:val="000E5C76"/>
    <w:rsid w:val="000F31CA"/>
    <w:rsid w:val="000F3B93"/>
    <w:rsid w:val="000F7E4E"/>
    <w:rsid w:val="00110A0B"/>
    <w:rsid w:val="0011686E"/>
    <w:rsid w:val="0012327C"/>
    <w:rsid w:val="00145B84"/>
    <w:rsid w:val="0014735D"/>
    <w:rsid w:val="00147A01"/>
    <w:rsid w:val="00173A8A"/>
    <w:rsid w:val="00180269"/>
    <w:rsid w:val="00185616"/>
    <w:rsid w:val="001D297B"/>
    <w:rsid w:val="001D2A6F"/>
    <w:rsid w:val="001D493D"/>
    <w:rsid w:val="00200ACA"/>
    <w:rsid w:val="0020268D"/>
    <w:rsid w:val="002132CA"/>
    <w:rsid w:val="00217AB9"/>
    <w:rsid w:val="00230331"/>
    <w:rsid w:val="0024438D"/>
    <w:rsid w:val="00263F25"/>
    <w:rsid w:val="00272046"/>
    <w:rsid w:val="00282926"/>
    <w:rsid w:val="00283F5E"/>
    <w:rsid w:val="002A5393"/>
    <w:rsid w:val="002C2D4F"/>
    <w:rsid w:val="002D2E64"/>
    <w:rsid w:val="00336E47"/>
    <w:rsid w:val="00352361"/>
    <w:rsid w:val="00357FF6"/>
    <w:rsid w:val="00377383"/>
    <w:rsid w:val="00395339"/>
    <w:rsid w:val="003B3474"/>
    <w:rsid w:val="003C6DDF"/>
    <w:rsid w:val="00416542"/>
    <w:rsid w:val="0043256D"/>
    <w:rsid w:val="00435147"/>
    <w:rsid w:val="00464BC5"/>
    <w:rsid w:val="0048355A"/>
    <w:rsid w:val="004A06C7"/>
    <w:rsid w:val="00544D69"/>
    <w:rsid w:val="00563AE0"/>
    <w:rsid w:val="00565F13"/>
    <w:rsid w:val="0058360B"/>
    <w:rsid w:val="00583F90"/>
    <w:rsid w:val="005A3649"/>
    <w:rsid w:val="005A6BAA"/>
    <w:rsid w:val="005B58F5"/>
    <w:rsid w:val="005E48E2"/>
    <w:rsid w:val="005E58BB"/>
    <w:rsid w:val="005E6C39"/>
    <w:rsid w:val="005F551B"/>
    <w:rsid w:val="00632904"/>
    <w:rsid w:val="00644858"/>
    <w:rsid w:val="00647F26"/>
    <w:rsid w:val="00687FCA"/>
    <w:rsid w:val="00690E1D"/>
    <w:rsid w:val="006A10B0"/>
    <w:rsid w:val="006D37DD"/>
    <w:rsid w:val="0073488B"/>
    <w:rsid w:val="00737A93"/>
    <w:rsid w:val="00747536"/>
    <w:rsid w:val="00747ADA"/>
    <w:rsid w:val="007605F9"/>
    <w:rsid w:val="00761B15"/>
    <w:rsid w:val="0079732A"/>
    <w:rsid w:val="007A57A8"/>
    <w:rsid w:val="007C0B24"/>
    <w:rsid w:val="007C5E12"/>
    <w:rsid w:val="007E7B10"/>
    <w:rsid w:val="007F536D"/>
    <w:rsid w:val="007F7932"/>
    <w:rsid w:val="00813ACC"/>
    <w:rsid w:val="00814ED5"/>
    <w:rsid w:val="0081688C"/>
    <w:rsid w:val="008236FB"/>
    <w:rsid w:val="0083128E"/>
    <w:rsid w:val="00841B98"/>
    <w:rsid w:val="00845E9E"/>
    <w:rsid w:val="00867EC9"/>
    <w:rsid w:val="00886DE0"/>
    <w:rsid w:val="00886F6E"/>
    <w:rsid w:val="008B03F2"/>
    <w:rsid w:val="008D0067"/>
    <w:rsid w:val="008E7965"/>
    <w:rsid w:val="008F49E2"/>
    <w:rsid w:val="00902C19"/>
    <w:rsid w:val="009112DF"/>
    <w:rsid w:val="00913497"/>
    <w:rsid w:val="009172D9"/>
    <w:rsid w:val="009236D6"/>
    <w:rsid w:val="0092611D"/>
    <w:rsid w:val="009310AE"/>
    <w:rsid w:val="00941A54"/>
    <w:rsid w:val="0094685B"/>
    <w:rsid w:val="009720AB"/>
    <w:rsid w:val="00991502"/>
    <w:rsid w:val="009B21CA"/>
    <w:rsid w:val="009B3ACF"/>
    <w:rsid w:val="009C18BE"/>
    <w:rsid w:val="009F7F5E"/>
    <w:rsid w:val="00A13FF4"/>
    <w:rsid w:val="00A22A07"/>
    <w:rsid w:val="00A32225"/>
    <w:rsid w:val="00A33852"/>
    <w:rsid w:val="00A375E2"/>
    <w:rsid w:val="00A44DD6"/>
    <w:rsid w:val="00A45E23"/>
    <w:rsid w:val="00A514A9"/>
    <w:rsid w:val="00A65963"/>
    <w:rsid w:val="00A676DC"/>
    <w:rsid w:val="00A85763"/>
    <w:rsid w:val="00A86862"/>
    <w:rsid w:val="00A92E66"/>
    <w:rsid w:val="00A9594F"/>
    <w:rsid w:val="00AA6F67"/>
    <w:rsid w:val="00B0120C"/>
    <w:rsid w:val="00B03A1F"/>
    <w:rsid w:val="00B1448C"/>
    <w:rsid w:val="00B204E6"/>
    <w:rsid w:val="00B353E0"/>
    <w:rsid w:val="00B3682F"/>
    <w:rsid w:val="00B60DD0"/>
    <w:rsid w:val="00B64272"/>
    <w:rsid w:val="00B72F0C"/>
    <w:rsid w:val="00B81ECB"/>
    <w:rsid w:val="00B8447D"/>
    <w:rsid w:val="00B930FB"/>
    <w:rsid w:val="00BA1696"/>
    <w:rsid w:val="00BC2600"/>
    <w:rsid w:val="00BE03F8"/>
    <w:rsid w:val="00BE6C40"/>
    <w:rsid w:val="00C1265D"/>
    <w:rsid w:val="00C15CEC"/>
    <w:rsid w:val="00C17ED1"/>
    <w:rsid w:val="00C3361F"/>
    <w:rsid w:val="00C354C8"/>
    <w:rsid w:val="00C40AB0"/>
    <w:rsid w:val="00C43B9A"/>
    <w:rsid w:val="00C4554A"/>
    <w:rsid w:val="00C83AA2"/>
    <w:rsid w:val="00CC106F"/>
    <w:rsid w:val="00CC2666"/>
    <w:rsid w:val="00CE2DB7"/>
    <w:rsid w:val="00CE5F20"/>
    <w:rsid w:val="00D05AD7"/>
    <w:rsid w:val="00D11079"/>
    <w:rsid w:val="00D1381E"/>
    <w:rsid w:val="00D21AAC"/>
    <w:rsid w:val="00D34CB9"/>
    <w:rsid w:val="00D409DD"/>
    <w:rsid w:val="00D51854"/>
    <w:rsid w:val="00D54B36"/>
    <w:rsid w:val="00D559D2"/>
    <w:rsid w:val="00D66038"/>
    <w:rsid w:val="00D85F09"/>
    <w:rsid w:val="00D900D8"/>
    <w:rsid w:val="00D95685"/>
    <w:rsid w:val="00DC1E75"/>
    <w:rsid w:val="00DD2972"/>
    <w:rsid w:val="00DF1CDE"/>
    <w:rsid w:val="00DF23A5"/>
    <w:rsid w:val="00DF3D4E"/>
    <w:rsid w:val="00E06989"/>
    <w:rsid w:val="00E337EE"/>
    <w:rsid w:val="00E35886"/>
    <w:rsid w:val="00E44C0D"/>
    <w:rsid w:val="00E45D5C"/>
    <w:rsid w:val="00E85846"/>
    <w:rsid w:val="00EB121A"/>
    <w:rsid w:val="00ED1A66"/>
    <w:rsid w:val="00ED33C6"/>
    <w:rsid w:val="00EE7B1B"/>
    <w:rsid w:val="00F03494"/>
    <w:rsid w:val="00F1285C"/>
    <w:rsid w:val="00F32DBA"/>
    <w:rsid w:val="00F359D0"/>
    <w:rsid w:val="00F42C0A"/>
    <w:rsid w:val="00F6213B"/>
    <w:rsid w:val="00F9021A"/>
    <w:rsid w:val="00F97322"/>
    <w:rsid w:val="00FA52C8"/>
    <w:rsid w:val="00FA7FE5"/>
    <w:rsid w:val="00FB1F11"/>
    <w:rsid w:val="00FD0671"/>
    <w:rsid w:val="00FD5E85"/>
    <w:rsid w:val="00FF206F"/>
    <w:rsid w:val="00FF48B6"/>
  </w:rsids>
  <m:mathPr>
    <m:mathFont m:val="Lucida Grande"/>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5C4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8236F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48D"/>
    <w:rPr>
      <w:rFonts w:ascii="Lucida Grande" w:hAnsi="Lucida Grande"/>
      <w:sz w:val="18"/>
      <w:szCs w:val="18"/>
    </w:rPr>
  </w:style>
  <w:style w:type="character" w:customStyle="1" w:styleId="BalloonTextChar0">
    <w:name w:val="Balloon Text Char"/>
    <w:basedOn w:val="DefaultParagraphFont"/>
    <w:link w:val="BalloonText"/>
    <w:uiPriority w:val="99"/>
    <w:semiHidden/>
    <w:rsid w:val="00ED448D"/>
    <w:rPr>
      <w:rFonts w:ascii="Lucida Grande" w:hAnsi="Lucida Grande"/>
      <w:sz w:val="18"/>
      <w:szCs w:val="18"/>
    </w:rPr>
  </w:style>
  <w:style w:type="paragraph" w:styleId="ListParagraph">
    <w:name w:val="List Paragraph"/>
    <w:basedOn w:val="Normal"/>
    <w:uiPriority w:val="34"/>
    <w:qFormat/>
    <w:rsid w:val="00062060"/>
    <w:pPr>
      <w:ind w:left="720"/>
      <w:contextualSpacing/>
    </w:pPr>
  </w:style>
  <w:style w:type="paragraph" w:styleId="Footer">
    <w:name w:val="footer"/>
    <w:basedOn w:val="Normal"/>
    <w:link w:val="FooterChar"/>
    <w:uiPriority w:val="99"/>
    <w:semiHidden/>
    <w:unhideWhenUsed/>
    <w:rsid w:val="005A6BAA"/>
    <w:pPr>
      <w:tabs>
        <w:tab w:val="center" w:pos="4320"/>
        <w:tab w:val="right" w:pos="8640"/>
      </w:tabs>
      <w:spacing w:after="0"/>
    </w:pPr>
  </w:style>
  <w:style w:type="character" w:customStyle="1" w:styleId="FooterChar">
    <w:name w:val="Footer Char"/>
    <w:basedOn w:val="DefaultParagraphFont"/>
    <w:link w:val="Footer"/>
    <w:uiPriority w:val="99"/>
    <w:semiHidden/>
    <w:rsid w:val="005A6BAA"/>
    <w:rPr>
      <w:sz w:val="24"/>
      <w:szCs w:val="24"/>
    </w:rPr>
  </w:style>
  <w:style w:type="character" w:styleId="PageNumber">
    <w:name w:val="page number"/>
    <w:basedOn w:val="DefaultParagraphFont"/>
    <w:uiPriority w:val="99"/>
    <w:semiHidden/>
    <w:unhideWhenUsed/>
    <w:rsid w:val="005A6BAA"/>
  </w:style>
  <w:style w:type="paragraph" w:styleId="FootnoteText">
    <w:name w:val="footnote text"/>
    <w:basedOn w:val="Normal"/>
    <w:link w:val="FootnoteTextChar"/>
    <w:uiPriority w:val="99"/>
    <w:semiHidden/>
    <w:unhideWhenUsed/>
    <w:rsid w:val="000F7E4E"/>
    <w:pPr>
      <w:spacing w:after="0"/>
    </w:pPr>
  </w:style>
  <w:style w:type="character" w:customStyle="1" w:styleId="FootnoteTextChar">
    <w:name w:val="Footnote Text Char"/>
    <w:basedOn w:val="DefaultParagraphFont"/>
    <w:link w:val="FootnoteText"/>
    <w:uiPriority w:val="99"/>
    <w:semiHidden/>
    <w:rsid w:val="000F7E4E"/>
    <w:rPr>
      <w:sz w:val="24"/>
      <w:szCs w:val="24"/>
    </w:rPr>
  </w:style>
  <w:style w:type="character" w:styleId="FootnoteReference">
    <w:name w:val="footnote reference"/>
    <w:basedOn w:val="DefaultParagraphFont"/>
    <w:uiPriority w:val="99"/>
    <w:semiHidden/>
    <w:unhideWhenUsed/>
    <w:rsid w:val="000F7E4E"/>
    <w:rPr>
      <w:vertAlign w:val="superscript"/>
    </w:rPr>
  </w:style>
  <w:style w:type="character" w:styleId="CommentReference">
    <w:name w:val="annotation reference"/>
    <w:basedOn w:val="DefaultParagraphFont"/>
    <w:rsid w:val="008236FB"/>
    <w:rPr>
      <w:sz w:val="16"/>
      <w:szCs w:val="16"/>
    </w:rPr>
  </w:style>
  <w:style w:type="paragraph" w:styleId="CommentText">
    <w:name w:val="annotation text"/>
    <w:basedOn w:val="Normal"/>
    <w:link w:val="CommentTextChar"/>
    <w:rsid w:val="008236FB"/>
    <w:rPr>
      <w:sz w:val="20"/>
      <w:szCs w:val="20"/>
    </w:rPr>
  </w:style>
  <w:style w:type="character" w:customStyle="1" w:styleId="CommentTextChar">
    <w:name w:val="Comment Text Char"/>
    <w:basedOn w:val="DefaultParagraphFont"/>
    <w:link w:val="CommentText"/>
    <w:rsid w:val="008236FB"/>
    <w:rPr>
      <w:sz w:val="20"/>
      <w:szCs w:val="20"/>
    </w:rPr>
  </w:style>
  <w:style w:type="paragraph" w:styleId="CommentSubject">
    <w:name w:val="annotation subject"/>
    <w:basedOn w:val="CommentText"/>
    <w:next w:val="CommentText"/>
    <w:link w:val="CommentSubjectChar"/>
    <w:rsid w:val="008236FB"/>
    <w:rPr>
      <w:b/>
      <w:bCs/>
    </w:rPr>
  </w:style>
  <w:style w:type="character" w:customStyle="1" w:styleId="CommentSubjectChar">
    <w:name w:val="Comment Subject Char"/>
    <w:basedOn w:val="CommentTextChar"/>
    <w:link w:val="CommentSubject"/>
    <w:rsid w:val="008236FB"/>
    <w:rPr>
      <w:b/>
      <w:bCs/>
    </w:rPr>
  </w:style>
  <w:style w:type="character" w:customStyle="1" w:styleId="BalloonTextChar1">
    <w:name w:val="Balloon Text Char1"/>
    <w:basedOn w:val="DefaultParagraphFont"/>
    <w:link w:val="BalloonText"/>
    <w:rsid w:val="008236FB"/>
    <w:rPr>
      <w:rFonts w:ascii="Tahoma" w:hAnsi="Tahoma" w:cs="Tahoma"/>
      <w:sz w:val="16"/>
      <w:szCs w:val="16"/>
    </w:rPr>
  </w:style>
  <w:style w:type="character" w:styleId="Hyperlink">
    <w:name w:val="Hyperlink"/>
    <w:basedOn w:val="DefaultParagraphFont"/>
    <w:rsid w:val="00C1265D"/>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settings" Target="settings.xml"/><Relationship Id="rId10" Type="http://schemas.openxmlformats.org/officeDocument/2006/relationships/fontTable" Target="fontTable.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2.xml"/><Relationship Id="rId3" Type="http://schemas.openxmlformats.org/officeDocument/2006/relationships/styles" Target="style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9400B-4E6C-DE45-9DA0-86443F835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6506</Words>
  <Characters>37088</Characters>
  <Application>Microsoft Macintosh Word</Application>
  <DocSecurity>0</DocSecurity>
  <Lines>309</Lines>
  <Paragraphs>74</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45546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WOLFF</dc:creator>
  <cp:lastModifiedBy>Jonathan Wolff</cp:lastModifiedBy>
  <cp:revision>2</cp:revision>
  <dcterms:created xsi:type="dcterms:W3CDTF">2011-04-11T12:30:00Z</dcterms:created>
  <dcterms:modified xsi:type="dcterms:W3CDTF">2011-04-11T12:30:00Z</dcterms:modified>
</cp:coreProperties>
</file>